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Ansi="黑体" w:eastAsia="黑体"/>
          <w:color w:val="000000" w:themeColor="text1"/>
          <w:sz w:val="44"/>
          <w:szCs w:val="44"/>
        </w:rPr>
      </w:pPr>
      <w:r>
        <w:rPr>
          <w:rFonts w:hAnsi="黑体" w:eastAsia="黑体"/>
          <w:color w:val="000000" w:themeColor="text1"/>
          <w:sz w:val="44"/>
          <w:szCs w:val="44"/>
        </w:rPr>
        <w:t>昆明市历史文化名城保护条例</w:t>
      </w:r>
    </w:p>
    <w:p>
      <w:pPr>
        <w:spacing w:line="300" w:lineRule="atLeast"/>
        <w:jc w:val="center"/>
        <w:rPr>
          <w:rFonts w:hint="eastAsia" w:ascii="仿宋_GB2312" w:hAnsi="Times New Roman" w:eastAsia="仿宋_GB2312" w:cs="Times New Roman"/>
          <w:spacing w:val="-20"/>
          <w:szCs w:val="21"/>
        </w:rPr>
      </w:pPr>
    </w:p>
    <w:p>
      <w:pPr>
        <w:spacing w:line="300" w:lineRule="atLeast"/>
        <w:jc w:val="center"/>
        <w:rPr>
          <w:rFonts w:hint="eastAsia" w:ascii="仿宋_GB2312" w:hAnsi="Times New Roman" w:eastAsia="仿宋_GB2312" w:cs="Times New Roman"/>
          <w:spacing w:val="-20"/>
          <w:szCs w:val="21"/>
        </w:rPr>
      </w:pPr>
      <w:r>
        <w:rPr>
          <w:rFonts w:hint="eastAsia" w:ascii="仿宋_GB2312" w:hAnsi="Times New Roman" w:eastAsia="仿宋_GB2312" w:cs="Times New Roman"/>
          <w:spacing w:val="-20"/>
          <w:szCs w:val="21"/>
        </w:rPr>
        <w:t>（2019年12月27日昆明市第十四届人民代表大会常务委员会第二十二次会议通过</w:t>
      </w:r>
    </w:p>
    <w:p>
      <w:pPr>
        <w:spacing w:line="300" w:lineRule="atLeast"/>
        <w:jc w:val="center"/>
        <w:rPr>
          <w:rFonts w:eastAsia="楷体_GB2312"/>
          <w:spacing w:val="-8"/>
          <w:sz w:val="32"/>
          <w:szCs w:val="32"/>
        </w:rPr>
      </w:pPr>
      <w:r>
        <w:rPr>
          <w:rFonts w:hint="eastAsia" w:ascii="仿宋_GB2312" w:hAnsi="Times New Roman" w:eastAsia="仿宋_GB2312" w:cs="Times New Roman"/>
          <w:spacing w:val="-20"/>
          <w:szCs w:val="21"/>
        </w:rPr>
        <w:t>20</w:t>
      </w:r>
      <w:r>
        <w:rPr>
          <w:rFonts w:hint="eastAsia" w:ascii="仿宋_GB2312" w:eastAsia="仿宋_GB2312" w:cs="Times New Roman"/>
          <w:spacing w:val="-20"/>
          <w:szCs w:val="21"/>
          <w:lang w:val="en-US" w:eastAsia="zh-CN"/>
        </w:rPr>
        <w:t>20</w:t>
      </w:r>
      <w:r>
        <w:rPr>
          <w:rFonts w:hint="eastAsia" w:ascii="仿宋_GB2312" w:hAnsi="Times New Roman" w:eastAsia="仿宋_GB2312" w:cs="Times New Roman"/>
          <w:spacing w:val="-20"/>
          <w:szCs w:val="21"/>
        </w:rPr>
        <w:t>年</w:t>
      </w:r>
      <w:r>
        <w:rPr>
          <w:rFonts w:hint="eastAsia" w:ascii="仿宋_GB2312" w:eastAsia="仿宋_GB2312" w:cs="Times New Roman"/>
          <w:spacing w:val="-20"/>
          <w:szCs w:val="21"/>
          <w:lang w:val="en-US" w:eastAsia="zh-CN"/>
        </w:rPr>
        <w:t>3</w:t>
      </w:r>
      <w:r>
        <w:rPr>
          <w:rFonts w:hint="eastAsia" w:ascii="仿宋_GB2312" w:hAnsi="Times New Roman" w:eastAsia="仿宋_GB2312" w:cs="Times New Roman"/>
          <w:spacing w:val="-20"/>
          <w:szCs w:val="21"/>
        </w:rPr>
        <w:t>月</w:t>
      </w:r>
      <w:r>
        <w:rPr>
          <w:rFonts w:hint="eastAsia" w:ascii="仿宋_GB2312" w:eastAsia="仿宋_GB2312" w:cs="Times New Roman"/>
          <w:spacing w:val="-20"/>
          <w:szCs w:val="21"/>
          <w:lang w:val="en-US" w:eastAsia="zh-CN"/>
        </w:rPr>
        <w:t>30</w:t>
      </w:r>
      <w:r>
        <w:rPr>
          <w:rFonts w:hint="eastAsia" w:ascii="仿宋_GB2312" w:hAnsi="Times New Roman" w:eastAsia="仿宋_GB2312" w:cs="Times New Roman"/>
          <w:spacing w:val="-20"/>
          <w:szCs w:val="21"/>
        </w:rPr>
        <w:t>日云南省第十三届人民代表大会常务委员会第十</w:t>
      </w:r>
      <w:r>
        <w:rPr>
          <w:rFonts w:hint="eastAsia" w:ascii="仿宋_GB2312" w:eastAsia="仿宋_GB2312" w:cs="Times New Roman"/>
          <w:spacing w:val="-20"/>
          <w:szCs w:val="21"/>
          <w:lang w:eastAsia="zh-CN"/>
        </w:rPr>
        <w:t>六</w:t>
      </w:r>
      <w:r>
        <w:rPr>
          <w:rFonts w:hint="eastAsia" w:ascii="仿宋_GB2312" w:hAnsi="Times New Roman" w:eastAsia="仿宋_GB2312" w:cs="Times New Roman"/>
          <w:spacing w:val="-20"/>
          <w:szCs w:val="21"/>
        </w:rPr>
        <w:t>次会议批准）</w:t>
      </w:r>
    </w:p>
    <w:p>
      <w:pPr>
        <w:spacing w:line="592" w:lineRule="exact"/>
        <w:ind w:firstLine="1280" w:firstLineChars="400"/>
        <w:rPr>
          <w:rFonts w:hAnsi="仿宋_GB2312" w:eastAsia="仿宋_GB2312"/>
          <w:color w:val="000000" w:themeColor="text1"/>
          <w:sz w:val="32"/>
          <w:szCs w:val="32"/>
        </w:rPr>
      </w:pPr>
    </w:p>
    <w:p>
      <w:pPr>
        <w:spacing w:line="592" w:lineRule="exact"/>
        <w:ind w:firstLine="1280" w:firstLineChars="400"/>
        <w:rPr>
          <w:rFonts w:eastAsia="仿宋_GB2312"/>
          <w:color w:val="000000" w:themeColor="text1"/>
          <w:sz w:val="32"/>
          <w:szCs w:val="32"/>
        </w:rPr>
      </w:pPr>
      <w:r>
        <w:rPr>
          <w:rFonts w:hAnsi="仿宋_GB2312" w:eastAsia="仿宋_GB2312"/>
          <w:color w:val="000000" w:themeColor="text1"/>
          <w:sz w:val="32"/>
          <w:szCs w:val="32"/>
        </w:rPr>
        <w:t>目</w:t>
      </w:r>
      <w:r>
        <w:rPr>
          <w:rFonts w:eastAsia="仿宋_GB2312"/>
          <w:color w:val="000000" w:themeColor="text1"/>
          <w:sz w:val="32"/>
          <w:szCs w:val="32"/>
        </w:rPr>
        <w:t xml:space="preserve">  </w:t>
      </w:r>
      <w:r>
        <w:rPr>
          <w:rFonts w:hAnsi="仿宋_GB2312" w:eastAsia="仿宋_GB2312"/>
          <w:color w:val="000000" w:themeColor="text1"/>
          <w:sz w:val="32"/>
          <w:szCs w:val="32"/>
        </w:rPr>
        <w:t>录</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第一章</w:t>
      </w:r>
      <w:r>
        <w:rPr>
          <w:rFonts w:eastAsia="仿宋_GB2312"/>
          <w:color w:val="000000" w:themeColor="text1"/>
          <w:sz w:val="32"/>
          <w:szCs w:val="32"/>
        </w:rPr>
        <w:t xml:space="preserve"> </w:t>
      </w:r>
      <w:r>
        <w:rPr>
          <w:rFonts w:hAnsi="仿宋_GB2312" w:eastAsia="仿宋_GB2312"/>
          <w:color w:val="000000" w:themeColor="text1"/>
          <w:sz w:val="32"/>
          <w:szCs w:val="32"/>
        </w:rPr>
        <w:t>总</w:t>
      </w:r>
      <w:r>
        <w:rPr>
          <w:rFonts w:eastAsia="仿宋_GB2312"/>
          <w:color w:val="000000" w:themeColor="text1"/>
          <w:sz w:val="32"/>
          <w:szCs w:val="32"/>
        </w:rPr>
        <w:t xml:space="preserve">  </w:t>
      </w:r>
      <w:r>
        <w:rPr>
          <w:rFonts w:hAnsi="仿宋_GB2312" w:eastAsia="仿宋_GB2312"/>
          <w:color w:val="000000" w:themeColor="text1"/>
          <w:sz w:val="32"/>
          <w:szCs w:val="32"/>
        </w:rPr>
        <w:t>则</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第二章</w:t>
      </w:r>
      <w:r>
        <w:rPr>
          <w:rFonts w:eastAsia="仿宋_GB2312"/>
          <w:color w:val="000000" w:themeColor="text1"/>
          <w:sz w:val="32"/>
          <w:szCs w:val="32"/>
        </w:rPr>
        <w:t xml:space="preserve"> </w:t>
      </w:r>
      <w:r>
        <w:rPr>
          <w:rFonts w:hAnsi="仿宋_GB2312" w:eastAsia="仿宋_GB2312"/>
          <w:color w:val="000000" w:themeColor="text1"/>
          <w:sz w:val="32"/>
          <w:szCs w:val="32"/>
        </w:rPr>
        <w:t>保护名录</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第三章</w:t>
      </w:r>
      <w:r>
        <w:rPr>
          <w:rFonts w:eastAsia="仿宋_GB2312"/>
          <w:color w:val="000000" w:themeColor="text1"/>
          <w:sz w:val="32"/>
          <w:szCs w:val="32"/>
        </w:rPr>
        <w:t xml:space="preserve"> </w:t>
      </w:r>
      <w:r>
        <w:rPr>
          <w:rFonts w:hAnsi="仿宋_GB2312" w:eastAsia="仿宋_GB2312"/>
          <w:color w:val="000000" w:themeColor="text1"/>
          <w:sz w:val="32"/>
          <w:szCs w:val="32"/>
        </w:rPr>
        <w:t>保护规划</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第四章</w:t>
      </w:r>
      <w:r>
        <w:rPr>
          <w:rFonts w:eastAsia="仿宋_GB2312"/>
          <w:color w:val="000000" w:themeColor="text1"/>
          <w:sz w:val="32"/>
          <w:szCs w:val="32"/>
        </w:rPr>
        <w:t xml:space="preserve"> </w:t>
      </w:r>
      <w:r>
        <w:rPr>
          <w:rFonts w:hAnsi="仿宋_GB2312" w:eastAsia="仿宋_GB2312"/>
          <w:color w:val="000000" w:themeColor="text1"/>
          <w:sz w:val="32"/>
          <w:szCs w:val="32"/>
        </w:rPr>
        <w:t>保护措施</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第五章</w:t>
      </w:r>
      <w:r>
        <w:rPr>
          <w:rFonts w:eastAsia="仿宋_GB2312"/>
          <w:color w:val="000000" w:themeColor="text1"/>
          <w:sz w:val="32"/>
          <w:szCs w:val="32"/>
        </w:rPr>
        <w:t xml:space="preserve"> </w:t>
      </w:r>
      <w:r>
        <w:rPr>
          <w:rFonts w:hAnsi="仿宋_GB2312" w:eastAsia="仿宋_GB2312"/>
          <w:color w:val="000000" w:themeColor="text1"/>
          <w:sz w:val="32"/>
          <w:szCs w:val="32"/>
        </w:rPr>
        <w:t>法律责任</w:t>
      </w:r>
    </w:p>
    <w:p>
      <w:pPr>
        <w:spacing w:line="592" w:lineRule="exact"/>
        <w:ind w:firstLine="640" w:firstLineChars="200"/>
        <w:rPr>
          <w:rFonts w:eastAsia="黑体"/>
          <w:color w:val="000000" w:themeColor="text1"/>
          <w:sz w:val="32"/>
          <w:szCs w:val="32"/>
        </w:rPr>
      </w:pPr>
      <w:r>
        <w:rPr>
          <w:rFonts w:hAnsi="仿宋_GB2312" w:eastAsia="仿宋_GB2312"/>
          <w:color w:val="000000" w:themeColor="text1"/>
          <w:sz w:val="32"/>
          <w:szCs w:val="32"/>
        </w:rPr>
        <w:t>第六章</w:t>
      </w:r>
      <w:r>
        <w:rPr>
          <w:rFonts w:eastAsia="仿宋_GB2312"/>
          <w:color w:val="000000" w:themeColor="text1"/>
          <w:sz w:val="32"/>
          <w:szCs w:val="32"/>
        </w:rPr>
        <w:t xml:space="preserve"> </w:t>
      </w:r>
      <w:r>
        <w:rPr>
          <w:rFonts w:hAnsi="仿宋_GB2312" w:eastAsia="仿宋_GB2312"/>
          <w:color w:val="000000" w:themeColor="text1"/>
          <w:sz w:val="32"/>
          <w:szCs w:val="32"/>
        </w:rPr>
        <w:t>附</w:t>
      </w:r>
      <w:r>
        <w:rPr>
          <w:rFonts w:eastAsia="仿宋_GB2312"/>
          <w:color w:val="000000" w:themeColor="text1"/>
          <w:sz w:val="32"/>
          <w:szCs w:val="32"/>
        </w:rPr>
        <w:t xml:space="preserve">  </w:t>
      </w:r>
      <w:r>
        <w:rPr>
          <w:rFonts w:hAnsi="仿宋_GB2312" w:eastAsia="仿宋_GB2312"/>
          <w:color w:val="000000" w:themeColor="text1"/>
          <w:sz w:val="32"/>
          <w:szCs w:val="32"/>
        </w:rPr>
        <w:t>则</w:t>
      </w:r>
    </w:p>
    <w:p>
      <w:pPr>
        <w:spacing w:line="592" w:lineRule="exact"/>
        <w:ind w:firstLine="640" w:firstLineChars="200"/>
        <w:rPr>
          <w:rFonts w:eastAsia="黑体"/>
          <w:color w:val="000000" w:themeColor="text1"/>
          <w:sz w:val="32"/>
          <w:szCs w:val="32"/>
        </w:rPr>
      </w:pPr>
    </w:p>
    <w:p>
      <w:pPr>
        <w:spacing w:line="592" w:lineRule="exact"/>
        <w:jc w:val="center"/>
        <w:rPr>
          <w:rFonts w:eastAsia="黑体"/>
          <w:color w:val="000000" w:themeColor="text1"/>
          <w:sz w:val="32"/>
          <w:szCs w:val="32"/>
        </w:rPr>
      </w:pPr>
      <w:r>
        <w:rPr>
          <w:rFonts w:hAnsi="黑体" w:eastAsia="黑体"/>
          <w:color w:val="000000" w:themeColor="text1"/>
          <w:sz w:val="32"/>
          <w:szCs w:val="32"/>
        </w:rPr>
        <w:t>第一章</w:t>
      </w:r>
      <w:r>
        <w:rPr>
          <w:rFonts w:eastAsia="黑体"/>
          <w:color w:val="000000" w:themeColor="text1"/>
          <w:sz w:val="32"/>
          <w:szCs w:val="32"/>
        </w:rPr>
        <w:t xml:space="preserve">  </w:t>
      </w:r>
      <w:r>
        <w:rPr>
          <w:rFonts w:hAnsi="黑体" w:eastAsia="黑体"/>
          <w:color w:val="000000" w:themeColor="text1"/>
          <w:sz w:val="32"/>
          <w:szCs w:val="32"/>
        </w:rPr>
        <w:t>总</w:t>
      </w:r>
      <w:r>
        <w:rPr>
          <w:rFonts w:eastAsia="黑体"/>
          <w:color w:val="000000" w:themeColor="text1"/>
          <w:sz w:val="32"/>
          <w:szCs w:val="32"/>
        </w:rPr>
        <w:t xml:space="preserve">  </w:t>
      </w:r>
      <w:r>
        <w:rPr>
          <w:rFonts w:hAnsi="黑体" w:eastAsia="黑体"/>
          <w:color w:val="000000" w:themeColor="text1"/>
          <w:sz w:val="32"/>
          <w:szCs w:val="32"/>
        </w:rPr>
        <w:t>则</w:t>
      </w:r>
    </w:p>
    <w:p>
      <w:pPr>
        <w:spacing w:line="592" w:lineRule="exact"/>
        <w:ind w:firstLine="640" w:firstLineChars="200"/>
        <w:rPr>
          <w:rFonts w:eastAsia="仿宋_GB2312"/>
          <w:color w:val="000000" w:themeColor="text1"/>
          <w:sz w:val="32"/>
          <w:szCs w:val="18"/>
        </w:rPr>
      </w:pP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第一条</w:t>
      </w:r>
      <w:r>
        <w:rPr>
          <w:rFonts w:eastAsia="仿宋"/>
          <w:color w:val="000000" w:themeColor="text1"/>
          <w:sz w:val="32"/>
          <w:szCs w:val="32"/>
        </w:rPr>
        <w:t xml:space="preserve"> </w:t>
      </w:r>
      <w:r>
        <w:rPr>
          <w:rFonts w:hAnsi="仿宋_GB2312" w:eastAsia="仿宋_GB2312"/>
          <w:color w:val="000000" w:themeColor="text1"/>
          <w:sz w:val="32"/>
          <w:szCs w:val="32"/>
        </w:rPr>
        <w:t>为了加强对历史文化名城的保护和管理，继承优秀的历史文化遗产，根据《中华人民共和国城乡规划法》《中华人民共和国文物保护法》《历史文化名城名镇名村保护条例》和《云南省历史文化名城名镇名村名街保护条例》等法律、法规，结合本市实际，制定本条例。</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第二条</w:t>
      </w:r>
      <w:r>
        <w:rPr>
          <w:rFonts w:eastAsia="仿宋"/>
          <w:color w:val="000000" w:themeColor="text1"/>
          <w:sz w:val="32"/>
          <w:szCs w:val="32"/>
        </w:rPr>
        <w:t xml:space="preserve"> </w:t>
      </w:r>
      <w:r>
        <w:rPr>
          <w:rFonts w:eastAsia="仿宋_GB2312"/>
          <w:color w:val="000000" w:themeColor="text1"/>
          <w:sz w:val="32"/>
          <w:szCs w:val="32"/>
        </w:rPr>
        <w:t>本</w:t>
      </w:r>
      <w:r>
        <w:rPr>
          <w:rFonts w:hAnsi="仿宋_GB2312" w:eastAsia="仿宋_GB2312"/>
          <w:color w:val="000000" w:themeColor="text1"/>
          <w:sz w:val="32"/>
          <w:szCs w:val="32"/>
        </w:rPr>
        <w:t>市历史文化名城的规划、保护、管理和利用适用本条例。</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第三条</w:t>
      </w:r>
      <w:r>
        <w:rPr>
          <w:rFonts w:eastAsia="仿宋"/>
          <w:color w:val="000000" w:themeColor="text1"/>
          <w:sz w:val="32"/>
          <w:szCs w:val="32"/>
        </w:rPr>
        <w:t xml:space="preserve"> </w:t>
      </w:r>
      <w:r>
        <w:rPr>
          <w:rFonts w:hAnsi="仿宋_GB2312" w:eastAsia="仿宋_GB2312"/>
          <w:color w:val="000000" w:themeColor="text1"/>
          <w:sz w:val="32"/>
          <w:szCs w:val="32"/>
        </w:rPr>
        <w:t>历史文化名城的保护应当坚持统筹规划、科学管理、保护</w:t>
      </w:r>
      <w:r>
        <w:rPr>
          <w:rFonts w:eastAsia="仿宋_GB2312"/>
          <w:color w:val="000000" w:themeColor="text1"/>
          <w:sz w:val="32"/>
          <w:szCs w:val="32"/>
        </w:rPr>
        <w:t>优先</w:t>
      </w:r>
      <w:r>
        <w:rPr>
          <w:rFonts w:hAnsi="仿宋_GB2312" w:eastAsia="仿宋_GB2312"/>
          <w:color w:val="000000" w:themeColor="text1"/>
          <w:sz w:val="32"/>
          <w:szCs w:val="32"/>
        </w:rPr>
        <w:t>、合理利用、</w:t>
      </w:r>
      <w:r>
        <w:rPr>
          <w:rFonts w:eastAsia="仿宋_GB2312"/>
          <w:color w:val="000000" w:themeColor="text1"/>
          <w:sz w:val="32"/>
          <w:szCs w:val="32"/>
        </w:rPr>
        <w:t>强化传承</w:t>
      </w:r>
      <w:r>
        <w:rPr>
          <w:rFonts w:hAnsi="仿宋_GB2312" w:eastAsia="仿宋_GB2312"/>
          <w:color w:val="000000" w:themeColor="text1"/>
          <w:sz w:val="32"/>
          <w:szCs w:val="32"/>
        </w:rPr>
        <w:t>、</w:t>
      </w:r>
      <w:r>
        <w:rPr>
          <w:rFonts w:eastAsia="仿宋_GB2312"/>
          <w:color w:val="000000" w:themeColor="text1"/>
          <w:sz w:val="32"/>
          <w:szCs w:val="32"/>
        </w:rPr>
        <w:t>文化引领</w:t>
      </w:r>
      <w:r>
        <w:rPr>
          <w:rFonts w:hAnsi="仿宋_GB2312" w:eastAsia="仿宋_GB2312"/>
          <w:color w:val="000000" w:themeColor="text1"/>
          <w:sz w:val="32"/>
          <w:szCs w:val="32"/>
        </w:rPr>
        <w:t>的原则，维护历史文化遗产的真实性和完整性，保护与其相互依存的自然和人文景观，保持和延续历史文化名城的传统格局和风貌。</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第四条</w:t>
      </w:r>
      <w:r>
        <w:rPr>
          <w:rFonts w:eastAsia="仿宋"/>
          <w:color w:val="000000" w:themeColor="text1"/>
          <w:sz w:val="32"/>
          <w:szCs w:val="32"/>
        </w:rPr>
        <w:t xml:space="preserve"> </w:t>
      </w:r>
      <w:r>
        <w:rPr>
          <w:rFonts w:eastAsia="仿宋_GB2312"/>
          <w:color w:val="000000" w:themeColor="text1"/>
          <w:sz w:val="32"/>
          <w:szCs w:val="32"/>
        </w:rPr>
        <w:t>本</w:t>
      </w:r>
      <w:r>
        <w:rPr>
          <w:rFonts w:hAnsi="仿宋_GB2312" w:eastAsia="仿宋_GB2312"/>
          <w:color w:val="000000" w:themeColor="text1"/>
          <w:sz w:val="32"/>
          <w:szCs w:val="32"/>
        </w:rPr>
        <w:t>市历史文化名城的保护对象</w:t>
      </w:r>
      <w:r>
        <w:rPr>
          <w:rFonts w:eastAsia="仿宋_GB2312"/>
          <w:color w:val="000000" w:themeColor="text1"/>
          <w:sz w:val="32"/>
          <w:szCs w:val="32"/>
        </w:rPr>
        <w:t>包括</w:t>
      </w:r>
      <w:r>
        <w:rPr>
          <w:rFonts w:hAnsi="仿宋_GB2312" w:eastAsia="仿宋_GB2312"/>
          <w:color w:val="000000" w:themeColor="text1"/>
          <w:sz w:val="32"/>
          <w:szCs w:val="32"/>
        </w:rPr>
        <w:t>历史城区、历史文化名镇、历史文化名村、</w:t>
      </w:r>
      <w:r>
        <w:rPr>
          <w:rFonts w:eastAsia="仿宋_GB2312"/>
          <w:color w:val="000000" w:themeColor="text1"/>
          <w:sz w:val="32"/>
          <w:szCs w:val="32"/>
        </w:rPr>
        <w:t>历史村镇、</w:t>
      </w:r>
      <w:r>
        <w:rPr>
          <w:rFonts w:hAnsi="仿宋_GB2312" w:eastAsia="仿宋_GB2312"/>
          <w:color w:val="000000" w:themeColor="text1"/>
          <w:sz w:val="32"/>
          <w:szCs w:val="32"/>
        </w:rPr>
        <w:t>历史文化街区、历史地段、历史建筑、传统风貌建筑，体现历史文化名城内涵的山水环境、文化线路、历史环境要素，以及有关法律、法规中确定的其他保护对象。</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涉及不可移动文物、地下文物、名人故（旧）居、传统地名、古树名木、工业遗产、非物质文化遗产、世界文化遗产、世界自然遗产、风景名胜等，按照有关法律、法规的规定执行。</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第五条</w:t>
      </w:r>
      <w:r>
        <w:rPr>
          <w:rFonts w:eastAsia="仿宋"/>
          <w:color w:val="000000" w:themeColor="text1"/>
          <w:sz w:val="32"/>
          <w:szCs w:val="32"/>
        </w:rPr>
        <w:t xml:space="preserve"> </w:t>
      </w:r>
      <w:r>
        <w:rPr>
          <w:rFonts w:hAnsi="仿宋_GB2312" w:eastAsia="仿宋_GB2312"/>
          <w:color w:val="000000" w:themeColor="text1"/>
          <w:sz w:val="32"/>
          <w:szCs w:val="32"/>
        </w:rPr>
        <w:t>市人民政府统一领导本市历史文化名城的保护利用和监督管理工作。</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县（市、区）人民政府负责本行政区域历史文化名城的保护利用和监督管理工作。</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自然资源规划行政主管部门和文物行政主管部门具体负责历史文化名城的保护和管理工作。</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住房城乡建设行政主管部门配合做好历史文化名城保护的建设管理工作。</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其他有关行政主管部门按照各自职责，做好历史文化名城相关保护监督管理工作。</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第六条</w:t>
      </w:r>
      <w:r>
        <w:rPr>
          <w:rFonts w:eastAsia="仿宋"/>
          <w:color w:val="000000" w:themeColor="text1"/>
          <w:sz w:val="32"/>
          <w:szCs w:val="32"/>
        </w:rPr>
        <w:t xml:space="preserve"> </w:t>
      </w:r>
      <w:r>
        <w:rPr>
          <w:rFonts w:hAnsi="仿宋_GB2312" w:eastAsia="仿宋_GB2312"/>
          <w:color w:val="000000" w:themeColor="text1"/>
          <w:sz w:val="32"/>
          <w:szCs w:val="32"/>
        </w:rPr>
        <w:t>市人民政府设立的历史文化名城保护委员会</w:t>
      </w:r>
      <w:r>
        <w:rPr>
          <w:rFonts w:eastAsia="仿宋_GB2312"/>
          <w:color w:val="000000" w:themeColor="text1"/>
          <w:sz w:val="32"/>
          <w:szCs w:val="32"/>
        </w:rPr>
        <w:t>负责</w:t>
      </w:r>
      <w:r>
        <w:rPr>
          <w:rFonts w:hAnsi="仿宋_GB2312" w:eastAsia="仿宋_GB2312"/>
          <w:color w:val="000000" w:themeColor="text1"/>
          <w:sz w:val="32"/>
          <w:szCs w:val="32"/>
        </w:rPr>
        <w:t>指导、协调涉及历史文化名城保护工作的重大事项</w:t>
      </w:r>
      <w:r>
        <w:rPr>
          <w:rFonts w:eastAsia="仿宋_GB2312"/>
          <w:color w:val="000000" w:themeColor="text1"/>
          <w:sz w:val="32"/>
          <w:szCs w:val="32"/>
        </w:rPr>
        <w:t>；</w:t>
      </w:r>
      <w:r>
        <w:rPr>
          <w:rFonts w:hAnsi="仿宋_GB2312" w:eastAsia="仿宋_GB2312"/>
          <w:color w:val="000000" w:themeColor="text1"/>
          <w:sz w:val="32"/>
          <w:szCs w:val="32"/>
        </w:rPr>
        <w:t>历史文化名城保护专家委员会负责为市人民政府和历史文化名城保护委员会决策提供咨询意见。</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第七条</w:t>
      </w:r>
      <w:r>
        <w:rPr>
          <w:rFonts w:eastAsia="仿宋_GB2312"/>
          <w:color w:val="000000" w:themeColor="text1"/>
          <w:sz w:val="32"/>
          <w:szCs w:val="32"/>
        </w:rPr>
        <w:t xml:space="preserve"> </w:t>
      </w:r>
      <w:r>
        <w:rPr>
          <w:rFonts w:hAnsi="仿宋_GB2312" w:eastAsia="仿宋_GB2312"/>
          <w:color w:val="000000" w:themeColor="text1"/>
          <w:sz w:val="32"/>
          <w:szCs w:val="32"/>
        </w:rPr>
        <w:t>市、县（市、区）人民政府应当将历史文化名城的保护纳入国民经济和社会发展规划，所需经费由市、县（市、区）两级列入本级年度财政预算。</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历史文化名城保护经费用于普查、测量、认定、抢险、档案资料收集管理、学术研究、规划编制、修缮补助、宣传普及、资助、奖励等方面。</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第八条</w:t>
      </w:r>
      <w:r>
        <w:rPr>
          <w:rFonts w:eastAsia="仿宋_GB2312"/>
          <w:color w:val="000000" w:themeColor="text1"/>
          <w:sz w:val="32"/>
          <w:szCs w:val="32"/>
        </w:rPr>
        <w:t xml:space="preserve"> </w:t>
      </w:r>
      <w:r>
        <w:rPr>
          <w:rFonts w:hAnsi="仿宋_GB2312" w:eastAsia="仿宋_GB2312"/>
          <w:color w:val="000000" w:themeColor="text1"/>
          <w:sz w:val="32"/>
          <w:szCs w:val="32"/>
        </w:rPr>
        <w:t>市、县（市、区）人民政府可以通过</w:t>
      </w:r>
      <w:r>
        <w:rPr>
          <w:rFonts w:eastAsia="仿宋_GB2312"/>
          <w:color w:val="000000" w:themeColor="text1"/>
          <w:sz w:val="32"/>
          <w:szCs w:val="32"/>
        </w:rPr>
        <w:t>购买服务等</w:t>
      </w:r>
      <w:r>
        <w:rPr>
          <w:rFonts w:hAnsi="仿宋_GB2312" w:eastAsia="仿宋_GB2312"/>
          <w:color w:val="000000" w:themeColor="text1"/>
          <w:sz w:val="32"/>
          <w:szCs w:val="32"/>
        </w:rPr>
        <w:t>多种渠道和方式，对历史文化名镇、历史文化名村、</w:t>
      </w:r>
      <w:r>
        <w:rPr>
          <w:rFonts w:eastAsia="仿宋_GB2312"/>
          <w:color w:val="000000" w:themeColor="text1"/>
          <w:sz w:val="32"/>
          <w:szCs w:val="32"/>
        </w:rPr>
        <w:t>历史村镇</w:t>
      </w:r>
      <w:r>
        <w:rPr>
          <w:rFonts w:hAnsi="仿宋_GB2312" w:eastAsia="仿宋_GB2312"/>
          <w:color w:val="000000" w:themeColor="text1"/>
          <w:sz w:val="32"/>
          <w:szCs w:val="32"/>
        </w:rPr>
        <w:t>、历史文化街区、历史地段、历史建筑、传统风貌建筑等实施日常保护和管理。</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第九条</w:t>
      </w:r>
      <w:r>
        <w:rPr>
          <w:rFonts w:eastAsia="仿宋"/>
          <w:color w:val="000000" w:themeColor="text1"/>
          <w:sz w:val="32"/>
          <w:szCs w:val="32"/>
        </w:rPr>
        <w:t xml:space="preserve"> </w:t>
      </w:r>
      <w:r>
        <w:rPr>
          <w:rFonts w:hAnsi="仿宋_GB2312" w:eastAsia="仿宋_GB2312"/>
          <w:color w:val="000000" w:themeColor="text1"/>
          <w:sz w:val="32"/>
          <w:szCs w:val="32"/>
        </w:rPr>
        <w:t>鼓励企业、事业单位、社会团体和个人以捐赠、捐助、投资、提供保护线索和服务等形式参与历史文化名城的保护、</w:t>
      </w:r>
      <w:r>
        <w:rPr>
          <w:rFonts w:eastAsia="仿宋_GB2312"/>
          <w:color w:val="000000" w:themeColor="text1"/>
          <w:sz w:val="32"/>
          <w:szCs w:val="32"/>
        </w:rPr>
        <w:t>传承、</w:t>
      </w:r>
      <w:r>
        <w:rPr>
          <w:rFonts w:hAnsi="仿宋_GB2312" w:eastAsia="仿宋_GB2312"/>
          <w:color w:val="000000" w:themeColor="text1"/>
          <w:sz w:val="32"/>
          <w:szCs w:val="32"/>
        </w:rPr>
        <w:t>利用工作。</w:t>
      </w:r>
    </w:p>
    <w:p>
      <w:pPr>
        <w:spacing w:line="592" w:lineRule="exact"/>
        <w:ind w:firstLine="640" w:firstLineChars="200"/>
        <w:rPr>
          <w:rFonts w:eastAsia="仿宋_GB2312"/>
          <w:color w:val="000000" w:themeColor="text1"/>
          <w:sz w:val="32"/>
          <w:szCs w:val="32"/>
        </w:rPr>
      </w:pPr>
      <w:r>
        <w:rPr>
          <w:rFonts w:eastAsia="仿宋_GB2312"/>
          <w:color w:val="000000" w:themeColor="text1"/>
          <w:sz w:val="32"/>
          <w:szCs w:val="32"/>
        </w:rPr>
        <w:t>鼓励</w:t>
      </w:r>
      <w:r>
        <w:rPr>
          <w:rFonts w:hAnsi="仿宋_GB2312" w:eastAsia="仿宋_GB2312"/>
          <w:color w:val="000000" w:themeColor="text1"/>
          <w:sz w:val="32"/>
          <w:szCs w:val="32"/>
        </w:rPr>
        <w:t>企业、事业单位、研究机构、行业协会、社会组织和个人依法开展历史文化保护、</w:t>
      </w:r>
      <w:r>
        <w:rPr>
          <w:rFonts w:eastAsia="仿宋_GB2312"/>
          <w:color w:val="000000" w:themeColor="text1"/>
          <w:sz w:val="32"/>
          <w:szCs w:val="32"/>
        </w:rPr>
        <w:t>传承、利用</w:t>
      </w:r>
      <w:r>
        <w:rPr>
          <w:rFonts w:hAnsi="仿宋_GB2312" w:eastAsia="仿宋_GB2312"/>
          <w:color w:val="000000" w:themeColor="text1"/>
          <w:sz w:val="32"/>
          <w:szCs w:val="32"/>
        </w:rPr>
        <w:t>的基础研究、专业培训等工作。</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市、县（市、区）人民政府</w:t>
      </w:r>
      <w:r>
        <w:rPr>
          <w:rFonts w:eastAsia="仿宋_GB2312"/>
          <w:color w:val="000000" w:themeColor="text1"/>
          <w:sz w:val="32"/>
          <w:szCs w:val="32"/>
        </w:rPr>
        <w:t>按照国家有关规定</w:t>
      </w:r>
      <w:r>
        <w:rPr>
          <w:rFonts w:hAnsi="仿宋_GB2312" w:eastAsia="仿宋_GB2312"/>
          <w:color w:val="000000" w:themeColor="text1"/>
          <w:sz w:val="32"/>
          <w:szCs w:val="32"/>
        </w:rPr>
        <w:t>对在历史文化名城保护中做出突出贡献的单位和个人给予表彰和奖励。</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第十条</w:t>
      </w:r>
      <w:r>
        <w:rPr>
          <w:rFonts w:eastAsia="仿宋"/>
          <w:color w:val="000000" w:themeColor="text1"/>
          <w:sz w:val="32"/>
          <w:szCs w:val="32"/>
        </w:rPr>
        <w:t xml:space="preserve"> </w:t>
      </w:r>
      <w:r>
        <w:rPr>
          <w:rFonts w:hAnsi="仿宋_GB2312" w:eastAsia="仿宋_GB2312"/>
          <w:color w:val="000000" w:themeColor="text1"/>
          <w:sz w:val="32"/>
          <w:szCs w:val="32"/>
        </w:rPr>
        <w:t>市、县（市、区）人民政府和有关部门应当组织开展本市历史文化名城保护的宣传教育活动，增强</w:t>
      </w:r>
      <w:r>
        <w:rPr>
          <w:rFonts w:eastAsia="仿宋_GB2312"/>
          <w:color w:val="000000" w:themeColor="text1"/>
          <w:sz w:val="32"/>
          <w:szCs w:val="32"/>
        </w:rPr>
        <w:t>全社会</w:t>
      </w:r>
      <w:r>
        <w:rPr>
          <w:rFonts w:hAnsi="仿宋_GB2312" w:eastAsia="仿宋_GB2312"/>
          <w:color w:val="000000" w:themeColor="text1"/>
          <w:sz w:val="32"/>
          <w:szCs w:val="32"/>
        </w:rPr>
        <w:t>的保护</w:t>
      </w:r>
      <w:r>
        <w:rPr>
          <w:rFonts w:eastAsia="仿宋_GB2312"/>
          <w:color w:val="000000" w:themeColor="text1"/>
          <w:sz w:val="32"/>
          <w:szCs w:val="32"/>
        </w:rPr>
        <w:t>和传承</w:t>
      </w:r>
      <w:r>
        <w:rPr>
          <w:rFonts w:hAnsi="仿宋_GB2312" w:eastAsia="仿宋_GB2312"/>
          <w:color w:val="000000" w:themeColor="text1"/>
          <w:sz w:val="32"/>
          <w:szCs w:val="32"/>
        </w:rPr>
        <w:t>意识。</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任何单位和个人有权对破坏、损害历史文化名城的行为进行劝阻和举报。</w:t>
      </w:r>
    </w:p>
    <w:p>
      <w:pPr>
        <w:spacing w:line="592" w:lineRule="exact"/>
        <w:ind w:firstLine="640" w:firstLineChars="200"/>
        <w:rPr>
          <w:rFonts w:eastAsia="黑体"/>
          <w:color w:val="000000" w:themeColor="text1"/>
          <w:sz w:val="32"/>
          <w:szCs w:val="32"/>
        </w:rPr>
      </w:pPr>
    </w:p>
    <w:p>
      <w:pPr>
        <w:spacing w:line="592" w:lineRule="exact"/>
        <w:ind w:firstLine="640" w:firstLineChars="200"/>
        <w:jc w:val="center"/>
        <w:rPr>
          <w:rFonts w:eastAsia="黑体"/>
          <w:color w:val="000000" w:themeColor="text1"/>
          <w:sz w:val="32"/>
          <w:szCs w:val="32"/>
        </w:rPr>
      </w:pPr>
      <w:r>
        <w:rPr>
          <w:rFonts w:hAnsi="黑体" w:eastAsia="黑体"/>
          <w:color w:val="000000" w:themeColor="text1"/>
          <w:sz w:val="32"/>
          <w:szCs w:val="32"/>
        </w:rPr>
        <w:t>第二章</w:t>
      </w:r>
      <w:r>
        <w:rPr>
          <w:rFonts w:eastAsia="黑体"/>
          <w:color w:val="000000" w:themeColor="text1"/>
          <w:sz w:val="32"/>
          <w:szCs w:val="32"/>
        </w:rPr>
        <w:t xml:space="preserve">  </w:t>
      </w:r>
      <w:r>
        <w:rPr>
          <w:rFonts w:hAnsi="黑体" w:eastAsia="黑体"/>
          <w:color w:val="000000" w:themeColor="text1"/>
          <w:sz w:val="32"/>
          <w:szCs w:val="32"/>
        </w:rPr>
        <w:t>保护名录</w:t>
      </w:r>
    </w:p>
    <w:p>
      <w:pPr>
        <w:spacing w:line="592" w:lineRule="exact"/>
        <w:ind w:firstLine="640" w:firstLineChars="200"/>
        <w:rPr>
          <w:rFonts w:eastAsia="黑体"/>
          <w:color w:val="000000" w:themeColor="text1"/>
          <w:sz w:val="32"/>
          <w:szCs w:val="32"/>
        </w:rPr>
      </w:pP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第十一条</w:t>
      </w:r>
      <w:r>
        <w:rPr>
          <w:rFonts w:eastAsia="仿宋_GB2312"/>
          <w:color w:val="000000" w:themeColor="text1"/>
          <w:sz w:val="32"/>
          <w:szCs w:val="32"/>
        </w:rPr>
        <w:t xml:space="preserve"> </w:t>
      </w:r>
      <w:r>
        <w:rPr>
          <w:rFonts w:hAnsi="仿宋_GB2312" w:eastAsia="仿宋_GB2312"/>
          <w:color w:val="000000" w:themeColor="text1"/>
          <w:sz w:val="32"/>
          <w:szCs w:val="32"/>
        </w:rPr>
        <w:t>本市</w:t>
      </w:r>
      <w:r>
        <w:rPr>
          <w:rFonts w:eastAsia="仿宋_GB2312"/>
          <w:color w:val="000000" w:themeColor="text1"/>
          <w:sz w:val="32"/>
          <w:szCs w:val="32"/>
        </w:rPr>
        <w:t>实行</w:t>
      </w:r>
      <w:r>
        <w:rPr>
          <w:rFonts w:hAnsi="仿宋_GB2312" w:eastAsia="仿宋_GB2312"/>
          <w:color w:val="000000" w:themeColor="text1"/>
          <w:sz w:val="32"/>
          <w:szCs w:val="32"/>
        </w:rPr>
        <w:t>历史文化名城保护名录制度。县（市、区）级以上人民政府已批准公布的保护对象纳入保护名录。</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第十二条</w:t>
      </w:r>
      <w:r>
        <w:rPr>
          <w:rFonts w:eastAsia="黑体"/>
          <w:color w:val="000000" w:themeColor="text1"/>
          <w:sz w:val="32"/>
          <w:szCs w:val="32"/>
        </w:rPr>
        <w:t xml:space="preserve"> </w:t>
      </w:r>
      <w:r>
        <w:rPr>
          <w:rFonts w:hAnsi="仿宋_GB2312" w:eastAsia="仿宋_GB2312"/>
          <w:color w:val="000000" w:themeColor="text1"/>
          <w:sz w:val="32"/>
          <w:szCs w:val="32"/>
        </w:rPr>
        <w:t>具备下列情形之一的，</w:t>
      </w:r>
      <w:r>
        <w:rPr>
          <w:rFonts w:eastAsia="仿宋_GB2312"/>
          <w:color w:val="000000" w:themeColor="text1"/>
          <w:sz w:val="32"/>
          <w:szCs w:val="32"/>
        </w:rPr>
        <w:t>按照程序批准公布为市级保护对象：</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（一）能够体现其历史发展过程或者某一发展时期风貌的城区；</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（二）保存比较完整、内涵较为丰富、特色明显，体现当地民族传统风貌特征的村镇；</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（三）保留遗存较为丰富，能够反映一定历史时期传统风貌或者民族、地方特色，并具有一定规模的地段；</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（四）反映历史风貌和地方特色，未公布为文物保护单位，未登记为不可移动文物，但是具有一定保护价值的建</w:t>
      </w:r>
      <w:r>
        <w:rPr>
          <w:rFonts w:eastAsia="仿宋_GB2312"/>
          <w:color w:val="000000" w:themeColor="text1"/>
          <w:sz w:val="32"/>
          <w:szCs w:val="32"/>
        </w:rPr>
        <w:t>（构）</w:t>
      </w:r>
      <w:r>
        <w:rPr>
          <w:rFonts w:hAnsi="仿宋_GB2312" w:eastAsia="仿宋_GB2312"/>
          <w:color w:val="000000" w:themeColor="text1"/>
          <w:sz w:val="32"/>
          <w:szCs w:val="32"/>
        </w:rPr>
        <w:t>筑</w:t>
      </w:r>
      <w:r>
        <w:rPr>
          <w:rFonts w:eastAsia="仿宋_GB2312"/>
          <w:color w:val="000000" w:themeColor="text1"/>
          <w:sz w:val="32"/>
          <w:szCs w:val="32"/>
        </w:rPr>
        <w:t>物</w:t>
      </w:r>
      <w:r>
        <w:rPr>
          <w:rFonts w:hAnsi="仿宋_GB2312" w:eastAsia="仿宋_GB2312"/>
          <w:color w:val="000000" w:themeColor="text1"/>
          <w:sz w:val="32"/>
          <w:szCs w:val="32"/>
        </w:rPr>
        <w:t>；</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（五）体现</w:t>
      </w:r>
      <w:r>
        <w:rPr>
          <w:rFonts w:eastAsia="仿宋_GB2312"/>
          <w:color w:val="000000" w:themeColor="text1"/>
          <w:sz w:val="32"/>
          <w:szCs w:val="32"/>
        </w:rPr>
        <w:t>地方</w:t>
      </w:r>
      <w:r>
        <w:rPr>
          <w:rFonts w:hAnsi="仿宋_GB2312" w:eastAsia="仿宋_GB2312"/>
          <w:color w:val="000000" w:themeColor="text1"/>
          <w:sz w:val="32"/>
          <w:szCs w:val="32"/>
        </w:rPr>
        <w:t>自然山水格局、凸显历史文化名城内涵的山水环境；</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（六）与历史城镇村聚落密切相关，或者历史上长期作为城镇村生活、主要贸易、交通通道等，对城镇村格局的形成和发展具有重要意义的线路；</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（七）反映历史风貌和地方特色的古井、围墙、石阶、铺地等环境要素；</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（八）其他需要申报为保护对象的。</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第十三条</w:t>
      </w:r>
      <w:r>
        <w:rPr>
          <w:rFonts w:eastAsia="黑体"/>
          <w:color w:val="000000" w:themeColor="text1"/>
          <w:sz w:val="32"/>
          <w:szCs w:val="32"/>
        </w:rPr>
        <w:t xml:space="preserve"> </w:t>
      </w:r>
      <w:r>
        <w:rPr>
          <w:rFonts w:hAnsi="仿宋_GB2312" w:eastAsia="仿宋_GB2312"/>
          <w:color w:val="000000" w:themeColor="text1"/>
          <w:sz w:val="32"/>
          <w:szCs w:val="32"/>
        </w:rPr>
        <w:t>市级保护对象由所在地县（市、区）人民政府负责组织申报，经市自然资源规划行政主管部门和市文物行政主管部门组织专家论证并向社会公示后，由市人民政府批准公布。公示时间不得少于</w:t>
      </w:r>
      <w:r>
        <w:rPr>
          <w:rFonts w:eastAsia="仿宋_GB2312"/>
          <w:color w:val="000000" w:themeColor="text1"/>
          <w:sz w:val="32"/>
          <w:szCs w:val="32"/>
        </w:rPr>
        <w:t>10</w:t>
      </w:r>
      <w:r>
        <w:rPr>
          <w:rFonts w:hAnsi="仿宋_GB2312" w:eastAsia="仿宋_GB2312"/>
          <w:color w:val="000000" w:themeColor="text1"/>
          <w:sz w:val="32"/>
          <w:szCs w:val="32"/>
        </w:rPr>
        <w:t>个工作日。</w:t>
      </w:r>
    </w:p>
    <w:p>
      <w:pPr>
        <w:spacing w:line="592" w:lineRule="exact"/>
        <w:ind w:firstLine="640" w:firstLineChars="200"/>
        <w:rPr>
          <w:rFonts w:eastAsia="仿宋_GB2312"/>
          <w:color w:val="000000" w:themeColor="text1"/>
          <w:sz w:val="32"/>
          <w:szCs w:val="32"/>
        </w:rPr>
      </w:pPr>
      <w:r>
        <w:rPr>
          <w:rFonts w:eastAsia="仿宋_GB2312"/>
          <w:color w:val="000000" w:themeColor="text1"/>
          <w:sz w:val="32"/>
          <w:szCs w:val="32"/>
        </w:rPr>
        <w:t>市级保护对象的认定标准及申报材料参照国家、省的有关规定执行。</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第十四条</w:t>
      </w:r>
      <w:r>
        <w:rPr>
          <w:rFonts w:eastAsia="黑体"/>
          <w:color w:val="000000" w:themeColor="text1"/>
          <w:sz w:val="32"/>
          <w:szCs w:val="32"/>
        </w:rPr>
        <w:t xml:space="preserve"> </w:t>
      </w:r>
      <w:r>
        <w:rPr>
          <w:rFonts w:hAnsi="仿宋_GB2312" w:eastAsia="仿宋_GB2312"/>
          <w:color w:val="000000" w:themeColor="text1"/>
          <w:sz w:val="32"/>
          <w:szCs w:val="32"/>
        </w:rPr>
        <w:t>对符合本条例第十二条规定，尚未申报市级保护对象的，市自然资源规划行政主管部门和市文物行政主管部门应当要求所在地县（市、区）人民政府申报；仍不申报的，可以直接向市人民政府提出确定其为市级保护对象的建议。</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已申报但尚未</w:t>
      </w:r>
      <w:r>
        <w:rPr>
          <w:rFonts w:eastAsia="仿宋_GB2312"/>
          <w:color w:val="000000" w:themeColor="text1"/>
          <w:sz w:val="32"/>
          <w:szCs w:val="32"/>
        </w:rPr>
        <w:t>批准公布的</w:t>
      </w:r>
      <w:r>
        <w:rPr>
          <w:rFonts w:hAnsi="仿宋_GB2312" w:eastAsia="仿宋_GB2312"/>
          <w:color w:val="000000" w:themeColor="text1"/>
          <w:sz w:val="32"/>
          <w:szCs w:val="32"/>
        </w:rPr>
        <w:t>保护对象，在申报期间不得拆迁。</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第十五条</w:t>
      </w:r>
      <w:r>
        <w:rPr>
          <w:rFonts w:eastAsia="黑体"/>
          <w:color w:val="000000" w:themeColor="text1"/>
          <w:sz w:val="32"/>
          <w:szCs w:val="32"/>
        </w:rPr>
        <w:t xml:space="preserve"> </w:t>
      </w:r>
      <w:r>
        <w:rPr>
          <w:rFonts w:hAnsi="仿宋_GB2312" w:eastAsia="仿宋_GB2312"/>
          <w:color w:val="000000" w:themeColor="text1"/>
          <w:sz w:val="32"/>
          <w:szCs w:val="32"/>
        </w:rPr>
        <w:t>保护</w:t>
      </w:r>
      <w:r>
        <w:rPr>
          <w:rFonts w:eastAsia="仿宋_GB2312"/>
          <w:color w:val="000000" w:themeColor="text1"/>
          <w:sz w:val="32"/>
          <w:szCs w:val="32"/>
        </w:rPr>
        <w:t>对象</w:t>
      </w:r>
      <w:r>
        <w:rPr>
          <w:rFonts w:hAnsi="仿宋_GB2312" w:eastAsia="仿宋_GB2312"/>
          <w:color w:val="000000" w:themeColor="text1"/>
          <w:sz w:val="32"/>
          <w:szCs w:val="32"/>
        </w:rPr>
        <w:t>公布后，所在地县（市、区）人民政府应当定期进行检查和评估，根据评估结果制定保护措施，报市人民政府备案并向社会公布。</w:t>
      </w:r>
    </w:p>
    <w:p>
      <w:pPr>
        <w:spacing w:line="592" w:lineRule="exact"/>
        <w:ind w:firstLine="640" w:firstLineChars="200"/>
        <w:rPr>
          <w:rFonts w:eastAsia="仿宋"/>
          <w:color w:val="000000" w:themeColor="text1"/>
          <w:sz w:val="32"/>
          <w:szCs w:val="32"/>
        </w:rPr>
      </w:pPr>
      <w:r>
        <w:rPr>
          <w:rFonts w:hAnsi="黑体" w:eastAsia="黑体"/>
          <w:color w:val="000000" w:themeColor="text1"/>
          <w:sz w:val="32"/>
          <w:szCs w:val="32"/>
        </w:rPr>
        <w:t>第十六条</w:t>
      </w:r>
      <w:r>
        <w:rPr>
          <w:rFonts w:eastAsia="黑体"/>
          <w:color w:val="000000" w:themeColor="text1"/>
          <w:sz w:val="32"/>
          <w:szCs w:val="32"/>
        </w:rPr>
        <w:t xml:space="preserve"> </w:t>
      </w:r>
      <w:r>
        <w:rPr>
          <w:rFonts w:hAnsi="仿宋_GB2312" w:eastAsia="仿宋_GB2312"/>
          <w:color w:val="000000" w:themeColor="text1"/>
          <w:sz w:val="32"/>
          <w:szCs w:val="32"/>
        </w:rPr>
        <w:t>保护对象的保护层级和类型发生变化，或者严重损毁、灭失，确已失去保护意义，需要调整、撤销的，由所在地县（市、区）人民政府按照原审批程序报送审批。</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第十七条</w:t>
      </w:r>
      <w:r>
        <w:rPr>
          <w:rFonts w:eastAsia="黑体"/>
          <w:color w:val="000000" w:themeColor="text1"/>
          <w:sz w:val="32"/>
          <w:szCs w:val="32"/>
        </w:rPr>
        <w:t xml:space="preserve"> </w:t>
      </w:r>
      <w:r>
        <w:rPr>
          <w:rFonts w:hAnsi="仿宋_GB2312" w:eastAsia="仿宋_GB2312"/>
          <w:color w:val="000000" w:themeColor="text1"/>
          <w:sz w:val="32"/>
          <w:szCs w:val="32"/>
        </w:rPr>
        <w:t>县（市、区）人民政府应当建立历史文化名城保护对象的动态监管机制，定期对辖区范围内的保护对象开展普查工作。</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县（市、区）人民政府应当对符合</w:t>
      </w:r>
      <w:r>
        <w:rPr>
          <w:rFonts w:eastAsia="仿宋_GB2312"/>
          <w:color w:val="000000" w:themeColor="text1"/>
          <w:sz w:val="32"/>
          <w:szCs w:val="32"/>
        </w:rPr>
        <w:t>本条例</w:t>
      </w:r>
      <w:r>
        <w:rPr>
          <w:rFonts w:hAnsi="仿宋_GB2312" w:eastAsia="仿宋_GB2312"/>
          <w:color w:val="000000" w:themeColor="text1"/>
          <w:sz w:val="32"/>
          <w:szCs w:val="32"/>
        </w:rPr>
        <w:t>第十二条规定的对象进行预先保护，同时应当书面告知当事人。自当事人收到预先保护通知之日起</w:t>
      </w:r>
      <w:r>
        <w:rPr>
          <w:rFonts w:eastAsia="仿宋_GB2312"/>
          <w:color w:val="000000" w:themeColor="text1"/>
          <w:sz w:val="32"/>
          <w:szCs w:val="32"/>
        </w:rPr>
        <w:t>12</w:t>
      </w:r>
      <w:r>
        <w:rPr>
          <w:rFonts w:hAnsi="仿宋_GB2312" w:eastAsia="仿宋_GB2312"/>
          <w:color w:val="000000" w:themeColor="text1"/>
          <w:sz w:val="32"/>
          <w:szCs w:val="32"/>
        </w:rPr>
        <w:t>个月</w:t>
      </w:r>
      <w:r>
        <w:rPr>
          <w:rFonts w:eastAsia="仿宋_GB2312"/>
          <w:color w:val="000000" w:themeColor="text1"/>
          <w:sz w:val="32"/>
          <w:szCs w:val="32"/>
        </w:rPr>
        <w:t>内</w:t>
      </w:r>
      <w:r>
        <w:rPr>
          <w:rFonts w:hAnsi="仿宋_GB2312" w:eastAsia="仿宋_GB2312"/>
          <w:color w:val="000000" w:themeColor="text1"/>
          <w:sz w:val="32"/>
          <w:szCs w:val="32"/>
        </w:rPr>
        <w:t>未纳入</w:t>
      </w:r>
      <w:r>
        <w:rPr>
          <w:rFonts w:eastAsia="仿宋_GB2312"/>
          <w:color w:val="000000" w:themeColor="text1"/>
          <w:sz w:val="32"/>
          <w:szCs w:val="32"/>
        </w:rPr>
        <w:t>市级</w:t>
      </w:r>
      <w:r>
        <w:rPr>
          <w:rFonts w:hAnsi="仿宋_GB2312" w:eastAsia="仿宋_GB2312"/>
          <w:color w:val="000000" w:themeColor="text1"/>
          <w:sz w:val="32"/>
          <w:szCs w:val="32"/>
        </w:rPr>
        <w:t>保护</w:t>
      </w:r>
      <w:r>
        <w:rPr>
          <w:rFonts w:eastAsia="仿宋_GB2312"/>
          <w:color w:val="000000" w:themeColor="text1"/>
          <w:sz w:val="32"/>
          <w:szCs w:val="32"/>
        </w:rPr>
        <w:t>对象</w:t>
      </w:r>
      <w:r>
        <w:rPr>
          <w:rFonts w:hAnsi="仿宋_GB2312" w:eastAsia="仿宋_GB2312"/>
          <w:color w:val="000000" w:themeColor="text1"/>
          <w:sz w:val="32"/>
          <w:szCs w:val="32"/>
        </w:rPr>
        <w:t>的，预先保护决定自行失效。</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预先保护期间，任何单位和个人不得损坏、拆除预先保护对象。因预先保护对有关单位或者个人的合法权益造成损失的，县（市、区）人民政府应当给予补偿。</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第十八条</w:t>
      </w:r>
      <w:r>
        <w:rPr>
          <w:rFonts w:eastAsia="黑体"/>
          <w:color w:val="000000" w:themeColor="text1"/>
          <w:sz w:val="32"/>
          <w:szCs w:val="32"/>
        </w:rPr>
        <w:t xml:space="preserve"> </w:t>
      </w:r>
      <w:r>
        <w:rPr>
          <w:rFonts w:hAnsi="仿宋_GB2312" w:eastAsia="仿宋_GB2312"/>
          <w:color w:val="000000" w:themeColor="text1"/>
          <w:sz w:val="32"/>
          <w:szCs w:val="32"/>
        </w:rPr>
        <w:t>县（市、区）人民政府应当建立辖区范围内历史文化名城保护的地理信息系统和保护名录档案，并在纳入保护名录后</w:t>
      </w:r>
      <w:r>
        <w:rPr>
          <w:rFonts w:eastAsia="仿宋_GB2312"/>
          <w:color w:val="000000" w:themeColor="text1"/>
          <w:sz w:val="32"/>
          <w:szCs w:val="32"/>
        </w:rPr>
        <w:t>12个月</w:t>
      </w:r>
      <w:r>
        <w:rPr>
          <w:rFonts w:hAnsi="仿宋_GB2312" w:eastAsia="仿宋_GB2312"/>
          <w:color w:val="000000" w:themeColor="text1"/>
          <w:sz w:val="32"/>
          <w:szCs w:val="32"/>
        </w:rPr>
        <w:t>内，将保护名录档案报送市自然资源规划行政主管部门备案。</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保护档案应当包括下列内容：</w:t>
      </w:r>
      <w:r>
        <w:rPr>
          <w:rFonts w:eastAsia="仿宋_GB2312"/>
          <w:color w:val="000000" w:themeColor="text1"/>
          <w:sz w:val="32"/>
          <w:szCs w:val="32"/>
        </w:rPr>
        <w:t xml:space="preserve"> </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（一）普查获取的资料、保护对象的基本信息；</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（二）有关保护对象的文化艺术特征、历史特征、历史沿革、历史事件、名人轶事和技术资料等；</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（三）权属变化和使用现状情况、保护范围内建设审批情况；</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（四）保护规划；</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（五）设计、测绘信息资料；</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（六）修缮、维修、迁移、拆除过程中形成的文字、图纸、图片和影像等资料；</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（七）其他需要保存的资料。</w:t>
      </w:r>
    </w:p>
    <w:p>
      <w:pPr>
        <w:spacing w:line="592" w:lineRule="exact"/>
        <w:ind w:firstLine="640" w:firstLineChars="200"/>
        <w:rPr>
          <w:rFonts w:eastAsia="仿宋"/>
          <w:color w:val="000000" w:themeColor="text1"/>
          <w:sz w:val="32"/>
          <w:szCs w:val="32"/>
        </w:rPr>
      </w:pPr>
    </w:p>
    <w:p>
      <w:pPr>
        <w:spacing w:line="592" w:lineRule="exact"/>
        <w:ind w:firstLine="640" w:firstLineChars="200"/>
        <w:jc w:val="center"/>
        <w:rPr>
          <w:rFonts w:eastAsia="黑体"/>
          <w:color w:val="000000" w:themeColor="text1"/>
          <w:sz w:val="32"/>
          <w:szCs w:val="32"/>
        </w:rPr>
      </w:pPr>
      <w:r>
        <w:rPr>
          <w:rFonts w:hAnsi="黑体" w:eastAsia="黑体"/>
          <w:color w:val="000000" w:themeColor="text1"/>
          <w:sz w:val="32"/>
          <w:szCs w:val="32"/>
        </w:rPr>
        <w:t>第三章</w:t>
      </w:r>
      <w:r>
        <w:rPr>
          <w:rFonts w:eastAsia="黑体"/>
          <w:color w:val="000000" w:themeColor="text1"/>
          <w:sz w:val="32"/>
          <w:szCs w:val="32"/>
        </w:rPr>
        <w:t xml:space="preserve">  </w:t>
      </w:r>
      <w:r>
        <w:rPr>
          <w:rFonts w:hAnsi="黑体" w:eastAsia="黑体"/>
          <w:color w:val="000000" w:themeColor="text1"/>
          <w:sz w:val="32"/>
          <w:szCs w:val="32"/>
        </w:rPr>
        <w:t>保护规划</w:t>
      </w:r>
    </w:p>
    <w:p>
      <w:pPr>
        <w:spacing w:line="592" w:lineRule="exact"/>
        <w:ind w:firstLine="640" w:firstLineChars="200"/>
        <w:rPr>
          <w:rFonts w:eastAsia="黑体"/>
          <w:color w:val="000000" w:themeColor="text1"/>
          <w:sz w:val="32"/>
          <w:szCs w:val="32"/>
        </w:rPr>
      </w:pP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第十九条</w:t>
      </w:r>
      <w:r>
        <w:rPr>
          <w:rFonts w:eastAsia="黑体"/>
          <w:color w:val="000000" w:themeColor="text1"/>
          <w:sz w:val="32"/>
          <w:szCs w:val="32"/>
        </w:rPr>
        <w:t xml:space="preserve"> </w:t>
      </w:r>
      <w:r>
        <w:rPr>
          <w:rFonts w:hAnsi="仿宋_GB2312" w:eastAsia="仿宋_GB2312"/>
          <w:color w:val="000000" w:themeColor="text1"/>
          <w:sz w:val="32"/>
          <w:szCs w:val="32"/>
        </w:rPr>
        <w:t>经批准公布的保护对象，由所在地县（市、区）人民政府组织编制保护规划</w:t>
      </w:r>
      <w:r>
        <w:rPr>
          <w:rFonts w:eastAsia="仿宋_GB2312"/>
          <w:color w:val="000000" w:themeColor="text1"/>
          <w:sz w:val="32"/>
          <w:szCs w:val="32"/>
        </w:rPr>
        <w:t>或者保护图则</w:t>
      </w:r>
      <w:r>
        <w:rPr>
          <w:rFonts w:hAnsi="仿宋_GB2312" w:eastAsia="仿宋_GB2312"/>
          <w:color w:val="000000" w:themeColor="text1"/>
          <w:sz w:val="32"/>
          <w:szCs w:val="32"/>
        </w:rPr>
        <w:t>。</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历史文化名城保护</w:t>
      </w:r>
      <w:r>
        <w:rPr>
          <w:rFonts w:eastAsia="仿宋_GB2312"/>
          <w:color w:val="000000" w:themeColor="text1"/>
          <w:sz w:val="32"/>
          <w:szCs w:val="32"/>
        </w:rPr>
        <w:t>规划应当划定历史城区范围</w:t>
      </w:r>
      <w:r>
        <w:rPr>
          <w:rFonts w:hAnsi="仿宋_GB2312" w:eastAsia="仿宋_GB2312"/>
          <w:color w:val="000000" w:themeColor="text1"/>
          <w:sz w:val="32"/>
          <w:szCs w:val="32"/>
        </w:rPr>
        <w:t>。历史文化名镇、历史文化名村、</w:t>
      </w:r>
      <w:r>
        <w:rPr>
          <w:rFonts w:eastAsia="仿宋_GB2312"/>
          <w:color w:val="000000" w:themeColor="text1"/>
          <w:sz w:val="32"/>
          <w:szCs w:val="32"/>
        </w:rPr>
        <w:t>历史村镇</w:t>
      </w:r>
      <w:r>
        <w:rPr>
          <w:rFonts w:hAnsi="仿宋_GB2312" w:eastAsia="仿宋_GB2312"/>
          <w:color w:val="000000" w:themeColor="text1"/>
          <w:sz w:val="32"/>
          <w:szCs w:val="32"/>
        </w:rPr>
        <w:t>、历史文化街区、历史地段的保护规划应当单独编制，</w:t>
      </w:r>
      <w:r>
        <w:rPr>
          <w:rFonts w:eastAsia="仿宋_GB2312"/>
          <w:color w:val="000000" w:themeColor="text1"/>
          <w:sz w:val="32"/>
          <w:szCs w:val="32"/>
        </w:rPr>
        <w:t>并划定保护范围。在历史城区范围和保护范围外，可以根据保护需要划定环境协调区。</w:t>
      </w:r>
    </w:p>
    <w:p>
      <w:pPr>
        <w:spacing w:line="592" w:lineRule="exact"/>
        <w:ind w:firstLine="640" w:firstLineChars="200"/>
        <w:rPr>
          <w:rFonts w:eastAsia="仿宋_GB2312"/>
          <w:color w:val="000000" w:themeColor="text1"/>
          <w:sz w:val="32"/>
          <w:szCs w:val="32"/>
        </w:rPr>
      </w:pPr>
      <w:r>
        <w:rPr>
          <w:rFonts w:eastAsia="仿宋_GB2312"/>
          <w:color w:val="000000" w:themeColor="text1"/>
          <w:sz w:val="32"/>
          <w:szCs w:val="32"/>
        </w:rPr>
        <w:t>保护</w:t>
      </w:r>
      <w:r>
        <w:rPr>
          <w:rFonts w:hAnsi="仿宋_GB2312" w:eastAsia="仿宋_GB2312"/>
          <w:color w:val="000000" w:themeColor="text1"/>
          <w:sz w:val="32"/>
          <w:szCs w:val="32"/>
        </w:rPr>
        <w:t>规划深度应当达到国家有关规划编制的要求，其中涉及山水环境、文化线路、历史环境要素的，应当在保护规划中明确保护措施和管控要求。</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历史建筑应当编制保护图则，保护图则包括基本信息、历史沿革、历史价值、风貌特色、保护范围、建筑测绘图、保护措施、维护修缮和使用要求、历史环境保护要求等内容。</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第二十条</w:t>
      </w:r>
      <w:r>
        <w:rPr>
          <w:rFonts w:eastAsia="黑体"/>
          <w:color w:val="000000" w:themeColor="text1"/>
          <w:sz w:val="32"/>
          <w:szCs w:val="32"/>
        </w:rPr>
        <w:t xml:space="preserve"> </w:t>
      </w:r>
      <w:r>
        <w:rPr>
          <w:rFonts w:eastAsia="仿宋_GB2312"/>
          <w:color w:val="000000" w:themeColor="text1"/>
          <w:sz w:val="32"/>
          <w:szCs w:val="32"/>
        </w:rPr>
        <w:t>市、县（市、区）级保护对象的</w:t>
      </w:r>
      <w:r>
        <w:rPr>
          <w:rFonts w:hAnsi="仿宋_GB2312" w:eastAsia="仿宋_GB2312"/>
          <w:color w:val="000000" w:themeColor="text1"/>
          <w:sz w:val="32"/>
          <w:szCs w:val="32"/>
        </w:rPr>
        <w:t>保护规划由</w:t>
      </w:r>
      <w:r>
        <w:rPr>
          <w:rFonts w:eastAsia="仿宋_GB2312"/>
          <w:color w:val="000000" w:themeColor="text1"/>
          <w:sz w:val="32"/>
          <w:szCs w:val="32"/>
        </w:rPr>
        <w:t>本级</w:t>
      </w:r>
      <w:r>
        <w:rPr>
          <w:rFonts w:hAnsi="仿宋_GB2312" w:eastAsia="仿宋_GB2312"/>
          <w:color w:val="000000" w:themeColor="text1"/>
          <w:sz w:val="32"/>
          <w:szCs w:val="32"/>
        </w:rPr>
        <w:t>人民政府批准</w:t>
      </w:r>
      <w:r>
        <w:rPr>
          <w:rFonts w:eastAsia="仿宋_GB2312"/>
          <w:color w:val="000000" w:themeColor="text1"/>
          <w:sz w:val="32"/>
          <w:szCs w:val="32"/>
        </w:rPr>
        <w:t>公布</w:t>
      </w:r>
      <w:r>
        <w:rPr>
          <w:rFonts w:hAnsi="仿宋_GB2312" w:eastAsia="仿宋_GB2312"/>
          <w:color w:val="000000" w:themeColor="text1"/>
          <w:sz w:val="32"/>
          <w:szCs w:val="32"/>
        </w:rPr>
        <w:t>。</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保护规划自批准后</w:t>
      </w:r>
      <w:r>
        <w:rPr>
          <w:rFonts w:eastAsia="仿宋_GB2312"/>
          <w:color w:val="000000" w:themeColor="text1"/>
          <w:sz w:val="32"/>
          <w:szCs w:val="32"/>
        </w:rPr>
        <w:t>20</w:t>
      </w:r>
      <w:r>
        <w:rPr>
          <w:rFonts w:hAnsi="仿宋_GB2312" w:eastAsia="仿宋_GB2312"/>
          <w:color w:val="000000" w:themeColor="text1"/>
          <w:sz w:val="32"/>
          <w:szCs w:val="32"/>
        </w:rPr>
        <w:t>个工作日内，</w:t>
      </w:r>
      <w:r>
        <w:rPr>
          <w:rFonts w:eastAsia="仿宋_GB2312"/>
          <w:color w:val="000000" w:themeColor="text1"/>
          <w:sz w:val="32"/>
          <w:szCs w:val="32"/>
        </w:rPr>
        <w:t>应当</w:t>
      </w:r>
      <w:r>
        <w:rPr>
          <w:rFonts w:hAnsi="仿宋_GB2312" w:eastAsia="仿宋_GB2312"/>
          <w:color w:val="000000" w:themeColor="text1"/>
          <w:sz w:val="32"/>
          <w:szCs w:val="32"/>
        </w:rPr>
        <w:t>在政府网站和主要新闻媒体上公布。</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经批准的保护规划不得擅自修改；确需修改的，保护规划的组织编制机关应当向原审批机关提出专题报告，经同意后，方可编制修改方案，修改后的保护规划，应当按照原审批程序报批。</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第二十一条</w:t>
      </w:r>
      <w:r>
        <w:rPr>
          <w:rFonts w:eastAsia="黑体"/>
          <w:color w:val="000000" w:themeColor="text1"/>
          <w:sz w:val="32"/>
          <w:szCs w:val="32"/>
        </w:rPr>
        <w:t xml:space="preserve"> </w:t>
      </w:r>
      <w:r>
        <w:rPr>
          <w:rFonts w:hAnsi="仿宋_GB2312" w:eastAsia="仿宋_GB2312"/>
          <w:color w:val="000000" w:themeColor="text1"/>
          <w:sz w:val="32"/>
          <w:szCs w:val="32"/>
        </w:rPr>
        <w:t>保护规划报送审批前，保护规划的组织编制机关应当广泛征求有关部门、专家和公众的意见；必要时，可以举行听证。</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保护规划报送审批文件中应当附具意见采纳情况及理由；经听证的，还应当附具听证笔录。</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第二十二条</w:t>
      </w:r>
      <w:r>
        <w:rPr>
          <w:rFonts w:eastAsia="黑体"/>
          <w:color w:val="000000" w:themeColor="text1"/>
          <w:sz w:val="32"/>
          <w:szCs w:val="32"/>
        </w:rPr>
        <w:t xml:space="preserve"> </w:t>
      </w:r>
      <w:r>
        <w:rPr>
          <w:rFonts w:eastAsia="仿宋_GB2312"/>
          <w:color w:val="000000" w:themeColor="text1"/>
          <w:sz w:val="32"/>
          <w:szCs w:val="32"/>
        </w:rPr>
        <w:t>其他</w:t>
      </w:r>
      <w:r>
        <w:rPr>
          <w:rFonts w:hAnsi="仿宋_GB2312" w:eastAsia="仿宋_GB2312"/>
          <w:color w:val="000000" w:themeColor="text1"/>
          <w:sz w:val="32"/>
          <w:szCs w:val="32"/>
        </w:rPr>
        <w:t>专项规划应当与经批准的历史文化名城保护规划相协调。</w:t>
      </w:r>
    </w:p>
    <w:p>
      <w:pPr>
        <w:spacing w:line="592" w:lineRule="exact"/>
        <w:ind w:firstLine="640" w:firstLineChars="200"/>
        <w:rPr>
          <w:rFonts w:eastAsia="黑体"/>
          <w:color w:val="000000" w:themeColor="text1"/>
          <w:sz w:val="32"/>
          <w:szCs w:val="32"/>
        </w:rPr>
      </w:pPr>
    </w:p>
    <w:p>
      <w:pPr>
        <w:spacing w:line="592" w:lineRule="exact"/>
        <w:ind w:firstLine="640" w:firstLineChars="200"/>
        <w:jc w:val="center"/>
        <w:rPr>
          <w:rFonts w:eastAsia="黑体"/>
          <w:color w:val="000000" w:themeColor="text1"/>
          <w:sz w:val="32"/>
          <w:szCs w:val="32"/>
        </w:rPr>
      </w:pPr>
      <w:r>
        <w:rPr>
          <w:rFonts w:hAnsi="黑体" w:eastAsia="黑体"/>
          <w:color w:val="000000" w:themeColor="text1"/>
          <w:sz w:val="32"/>
          <w:szCs w:val="32"/>
        </w:rPr>
        <w:t>第四章</w:t>
      </w:r>
      <w:r>
        <w:rPr>
          <w:rFonts w:eastAsia="黑体"/>
          <w:color w:val="000000" w:themeColor="text1"/>
          <w:sz w:val="32"/>
          <w:szCs w:val="32"/>
        </w:rPr>
        <w:t xml:space="preserve">  </w:t>
      </w:r>
      <w:r>
        <w:rPr>
          <w:rFonts w:hAnsi="黑体" w:eastAsia="黑体"/>
          <w:color w:val="000000" w:themeColor="text1"/>
          <w:sz w:val="32"/>
          <w:szCs w:val="32"/>
        </w:rPr>
        <w:t>保护措施</w:t>
      </w:r>
    </w:p>
    <w:p>
      <w:pPr>
        <w:spacing w:line="592" w:lineRule="exact"/>
        <w:ind w:firstLine="640" w:firstLineChars="200"/>
        <w:rPr>
          <w:rFonts w:eastAsia="黑体"/>
          <w:color w:val="000000" w:themeColor="text1"/>
          <w:sz w:val="32"/>
          <w:szCs w:val="32"/>
        </w:rPr>
      </w:pP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第二十三条</w:t>
      </w:r>
      <w:r>
        <w:rPr>
          <w:rFonts w:eastAsia="仿宋"/>
          <w:color w:val="000000" w:themeColor="text1"/>
          <w:sz w:val="32"/>
          <w:szCs w:val="32"/>
        </w:rPr>
        <w:t xml:space="preserve"> </w:t>
      </w:r>
      <w:r>
        <w:rPr>
          <w:rFonts w:hAnsi="仿宋_GB2312" w:eastAsia="仿宋_GB2312"/>
          <w:color w:val="000000" w:themeColor="text1"/>
          <w:sz w:val="32"/>
          <w:szCs w:val="32"/>
        </w:rPr>
        <w:t>历史文化名镇、历史文化名村、</w:t>
      </w:r>
      <w:r>
        <w:rPr>
          <w:rFonts w:eastAsia="仿宋_GB2312"/>
          <w:color w:val="000000" w:themeColor="text1"/>
          <w:sz w:val="32"/>
          <w:szCs w:val="32"/>
        </w:rPr>
        <w:t>历史村镇、</w:t>
      </w:r>
      <w:r>
        <w:rPr>
          <w:rFonts w:hAnsi="仿宋_GB2312" w:eastAsia="仿宋_GB2312"/>
          <w:color w:val="000000" w:themeColor="text1"/>
          <w:sz w:val="32"/>
          <w:szCs w:val="32"/>
        </w:rPr>
        <w:t>历史文化街区、历史地段的保护范围包括核心保护范围和建设控制地带。</w:t>
      </w:r>
      <w:r>
        <w:rPr>
          <w:rFonts w:eastAsia="仿宋_GB2312"/>
          <w:color w:val="000000" w:themeColor="text1"/>
          <w:sz w:val="32"/>
          <w:szCs w:val="32"/>
        </w:rPr>
        <w:t>历史建筑的保护范围包括历史建筑本身和必要的建设控制地带。</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第二十四条</w:t>
      </w:r>
      <w:r>
        <w:rPr>
          <w:rFonts w:eastAsia="黑体"/>
          <w:color w:val="000000" w:themeColor="text1"/>
          <w:sz w:val="32"/>
          <w:szCs w:val="32"/>
        </w:rPr>
        <w:t xml:space="preserve"> </w:t>
      </w:r>
      <w:r>
        <w:rPr>
          <w:rFonts w:hAnsi="仿宋_GB2312" w:eastAsia="仿宋_GB2312"/>
          <w:color w:val="000000" w:themeColor="text1"/>
          <w:sz w:val="32"/>
          <w:szCs w:val="32"/>
        </w:rPr>
        <w:t>市、县（市、区）人民政府应当对历史城区、历史文化名镇、历史文化名村、</w:t>
      </w:r>
      <w:r>
        <w:rPr>
          <w:rFonts w:eastAsia="仿宋_GB2312"/>
          <w:color w:val="000000" w:themeColor="text1"/>
          <w:sz w:val="32"/>
          <w:szCs w:val="32"/>
        </w:rPr>
        <w:t>历史村镇</w:t>
      </w:r>
      <w:r>
        <w:rPr>
          <w:rFonts w:hAnsi="仿宋_GB2312" w:eastAsia="仿宋_GB2312"/>
          <w:color w:val="000000" w:themeColor="text1"/>
          <w:sz w:val="32"/>
          <w:szCs w:val="32"/>
        </w:rPr>
        <w:t>、历史文化街区、历史地段实行整体保护。</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县（市、区）人民政府应当依据保护规划，对保护范围内的建（构）筑物进行分类保护。</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第二十五条</w:t>
      </w:r>
      <w:r>
        <w:rPr>
          <w:rFonts w:eastAsia="仿宋_GB2312"/>
          <w:color w:val="000000" w:themeColor="text1"/>
          <w:sz w:val="32"/>
          <w:szCs w:val="32"/>
        </w:rPr>
        <w:t xml:space="preserve"> </w:t>
      </w:r>
      <w:r>
        <w:rPr>
          <w:rFonts w:hAnsi="仿宋_GB2312" w:eastAsia="仿宋_GB2312"/>
          <w:color w:val="000000" w:themeColor="text1"/>
          <w:sz w:val="32"/>
          <w:szCs w:val="32"/>
        </w:rPr>
        <w:t>县（市、区）人民政府应当</w:t>
      </w:r>
      <w:r>
        <w:rPr>
          <w:rFonts w:eastAsia="仿宋_GB2312"/>
          <w:color w:val="000000" w:themeColor="text1"/>
          <w:sz w:val="32"/>
          <w:szCs w:val="32"/>
        </w:rPr>
        <w:t>及时组织抢修保护名录中的濒危建（构）筑物。</w:t>
      </w:r>
    </w:p>
    <w:p>
      <w:pPr>
        <w:spacing w:line="592" w:lineRule="exact"/>
        <w:ind w:firstLine="640" w:firstLineChars="200"/>
        <w:rPr>
          <w:rFonts w:eastAsia="仿宋_GB2312"/>
          <w:color w:val="000000" w:themeColor="text1"/>
          <w:sz w:val="32"/>
          <w:szCs w:val="32"/>
        </w:rPr>
      </w:pPr>
      <w:r>
        <w:rPr>
          <w:rFonts w:eastAsia="仿宋_GB2312"/>
          <w:color w:val="000000" w:themeColor="text1"/>
          <w:sz w:val="32"/>
          <w:szCs w:val="32"/>
        </w:rPr>
        <w:t>县（市、区）人民政府应当</w:t>
      </w:r>
      <w:r>
        <w:rPr>
          <w:rFonts w:hAnsi="仿宋_GB2312" w:eastAsia="仿宋_GB2312"/>
          <w:color w:val="000000" w:themeColor="text1"/>
          <w:sz w:val="32"/>
          <w:szCs w:val="32"/>
        </w:rPr>
        <w:t>科学评估历史建筑的历史价值、科学价值、艺术价值以及保存状况，提出历史建筑的具体修缮维护要求，不得破坏其历史特征、艺术特征、空间和风貌特色。</w:t>
      </w:r>
    </w:p>
    <w:p>
      <w:pPr>
        <w:spacing w:line="592" w:lineRule="exact"/>
        <w:ind w:firstLine="640" w:firstLineChars="200"/>
        <w:rPr>
          <w:rFonts w:eastAsia="仿宋_GB2312"/>
          <w:color w:val="000000" w:themeColor="text1"/>
          <w:sz w:val="32"/>
          <w:szCs w:val="32"/>
        </w:rPr>
      </w:pPr>
      <w:r>
        <w:rPr>
          <w:rFonts w:eastAsia="仿宋_GB2312"/>
          <w:color w:val="000000" w:themeColor="text1"/>
          <w:sz w:val="32"/>
          <w:szCs w:val="32"/>
        </w:rPr>
        <w:t>鼓励对传统风貌建筑原址保护，维修、改善不得改变原有风貌类型和重要风貌特征元素。</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第二十六条</w:t>
      </w:r>
      <w:r>
        <w:rPr>
          <w:rFonts w:eastAsia="黑体"/>
          <w:color w:val="000000" w:themeColor="text1"/>
          <w:sz w:val="32"/>
          <w:szCs w:val="32"/>
        </w:rPr>
        <w:t xml:space="preserve"> </w:t>
      </w:r>
      <w:r>
        <w:rPr>
          <w:rFonts w:hAnsi="仿宋_GB2312" w:eastAsia="仿宋_GB2312"/>
          <w:color w:val="000000" w:themeColor="text1"/>
          <w:sz w:val="32"/>
          <w:szCs w:val="32"/>
        </w:rPr>
        <w:t>在保护范围内禁止进行下列活动：</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（一）开山、采石、开矿等破坏传统格局和历史风貌的活动；</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（二）占用保护规划确定保留的园林绿地、河湖水系、道路等；</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（三）修建生产、储存爆炸性、易燃性、放射性、毒害性、腐蚀性物品的工厂、仓库等；</w:t>
      </w:r>
      <w:r>
        <w:rPr>
          <w:rFonts w:eastAsia="仿宋_GB2312"/>
          <w:color w:val="000000" w:themeColor="text1"/>
          <w:sz w:val="32"/>
          <w:szCs w:val="32"/>
        </w:rPr>
        <w:t xml:space="preserve"> </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（四）</w:t>
      </w:r>
      <w:r>
        <w:rPr>
          <w:rFonts w:eastAsia="仿宋_GB2312"/>
          <w:color w:val="000000" w:themeColor="text1"/>
          <w:sz w:val="32"/>
          <w:szCs w:val="32"/>
        </w:rPr>
        <w:t>损坏或者擅自迁移、拆除历史建筑</w:t>
      </w:r>
      <w:r>
        <w:rPr>
          <w:rFonts w:hAnsi="仿宋_GB2312" w:eastAsia="仿宋_GB2312"/>
          <w:color w:val="000000" w:themeColor="text1"/>
          <w:sz w:val="32"/>
          <w:szCs w:val="32"/>
        </w:rPr>
        <w:t>；</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（五）擅自进行爆破、取土、挖沙、围填水面；</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（六）修建损害传统格局和历史风貌的建（构）筑物或者其他设施；</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（七）在历史建筑上刻划、张贴、涂污；</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（八）其他破坏原有建筑风格、景观、视廊、环境整体性的活动。</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第二十七条</w:t>
      </w:r>
      <w:r>
        <w:rPr>
          <w:rFonts w:eastAsia="黑体"/>
          <w:color w:val="000000" w:themeColor="text1"/>
          <w:sz w:val="32"/>
          <w:szCs w:val="32"/>
        </w:rPr>
        <w:t xml:space="preserve"> </w:t>
      </w:r>
      <w:r>
        <w:rPr>
          <w:rFonts w:hAnsi="仿宋_GB2312" w:eastAsia="仿宋_GB2312"/>
          <w:color w:val="000000" w:themeColor="text1"/>
          <w:sz w:val="32"/>
          <w:szCs w:val="32"/>
        </w:rPr>
        <w:t>环境协调区应当保护其依存的自然与人文环境，新建、改建的建（构）筑物应当与环境风貌相协调。</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第二十八条</w:t>
      </w:r>
      <w:r>
        <w:rPr>
          <w:rFonts w:eastAsia="黑体"/>
          <w:color w:val="000000" w:themeColor="text1"/>
          <w:sz w:val="32"/>
          <w:szCs w:val="32"/>
        </w:rPr>
        <w:t xml:space="preserve"> </w:t>
      </w:r>
      <w:r>
        <w:rPr>
          <w:rFonts w:hAnsi="仿宋_GB2312" w:eastAsia="仿宋_GB2312"/>
          <w:color w:val="000000" w:themeColor="text1"/>
          <w:sz w:val="32"/>
          <w:szCs w:val="32"/>
        </w:rPr>
        <w:t>建设控制地带内，新建、扩建、改建建（构）筑物时应当在高度、体量、形式、色调等方面与历史风貌相协调。</w:t>
      </w:r>
    </w:p>
    <w:p>
      <w:pPr>
        <w:spacing w:line="592" w:lineRule="exact"/>
        <w:ind w:firstLine="640" w:firstLineChars="200"/>
        <w:rPr>
          <w:rFonts w:eastAsia="仿宋_GB2312"/>
          <w:color w:val="000000" w:themeColor="text1"/>
          <w:sz w:val="32"/>
          <w:szCs w:val="32"/>
        </w:rPr>
      </w:pPr>
      <w:r>
        <w:rPr>
          <w:rFonts w:eastAsia="仿宋_GB2312"/>
          <w:color w:val="000000" w:themeColor="text1"/>
          <w:sz w:val="32"/>
          <w:szCs w:val="32"/>
        </w:rPr>
        <w:t>建设控制地带内，</w:t>
      </w:r>
      <w:r>
        <w:rPr>
          <w:rFonts w:hAnsi="仿宋_GB2312" w:eastAsia="仿宋_GB2312"/>
          <w:color w:val="000000" w:themeColor="text1"/>
          <w:sz w:val="32"/>
          <w:szCs w:val="32"/>
        </w:rPr>
        <w:t>新建、扩建、改建道路不得破坏传统格局和历史风貌；不得新建污染</w:t>
      </w:r>
      <w:r>
        <w:rPr>
          <w:rFonts w:eastAsia="仿宋_GB2312"/>
          <w:color w:val="000000" w:themeColor="text1"/>
          <w:sz w:val="32"/>
          <w:szCs w:val="32"/>
        </w:rPr>
        <w:t>环境</w:t>
      </w:r>
      <w:r>
        <w:rPr>
          <w:rFonts w:hAnsi="仿宋_GB2312" w:eastAsia="仿宋_GB2312"/>
          <w:color w:val="000000" w:themeColor="text1"/>
          <w:sz w:val="32"/>
          <w:szCs w:val="32"/>
        </w:rPr>
        <w:t>的工业企业，现有污染</w:t>
      </w:r>
      <w:r>
        <w:rPr>
          <w:rFonts w:eastAsia="仿宋_GB2312"/>
          <w:color w:val="000000" w:themeColor="text1"/>
          <w:sz w:val="32"/>
          <w:szCs w:val="32"/>
        </w:rPr>
        <w:t>环境</w:t>
      </w:r>
      <w:r>
        <w:rPr>
          <w:rFonts w:hAnsi="仿宋_GB2312" w:eastAsia="仿宋_GB2312"/>
          <w:color w:val="000000" w:themeColor="text1"/>
          <w:sz w:val="32"/>
          <w:szCs w:val="32"/>
        </w:rPr>
        <w:t>的工业企业应当有计划</w:t>
      </w:r>
      <w:r>
        <w:rPr>
          <w:rFonts w:eastAsia="仿宋_GB2312"/>
          <w:color w:val="000000" w:themeColor="text1"/>
          <w:sz w:val="32"/>
          <w:szCs w:val="32"/>
        </w:rPr>
        <w:t>关停或者迁出</w:t>
      </w:r>
      <w:r>
        <w:rPr>
          <w:rFonts w:hAnsi="仿宋_GB2312" w:eastAsia="仿宋_GB2312"/>
          <w:color w:val="000000" w:themeColor="text1"/>
          <w:sz w:val="32"/>
          <w:szCs w:val="32"/>
        </w:rPr>
        <w:t>。</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第二十九条</w:t>
      </w:r>
      <w:r>
        <w:rPr>
          <w:rFonts w:eastAsia="黑体"/>
          <w:color w:val="000000" w:themeColor="text1"/>
          <w:sz w:val="32"/>
          <w:szCs w:val="32"/>
        </w:rPr>
        <w:t xml:space="preserve"> </w:t>
      </w:r>
      <w:r>
        <w:rPr>
          <w:rFonts w:hAnsi="仿宋_GB2312" w:eastAsia="仿宋_GB2312"/>
          <w:color w:val="000000" w:themeColor="text1"/>
          <w:sz w:val="32"/>
          <w:szCs w:val="32"/>
        </w:rPr>
        <w:t>核心保护范围内，</w:t>
      </w:r>
      <w:r>
        <w:rPr>
          <w:rFonts w:eastAsia="仿宋_GB2312"/>
          <w:color w:val="000000" w:themeColor="text1"/>
          <w:sz w:val="32"/>
          <w:szCs w:val="32"/>
        </w:rPr>
        <w:t>除了新建、扩建必要的基础设施和公共服务设施外，不得进行新建、扩建活动。</w:t>
      </w:r>
      <w:r>
        <w:rPr>
          <w:rFonts w:hAnsi="仿宋_GB2312" w:eastAsia="仿宋_GB2312"/>
          <w:color w:val="000000" w:themeColor="text1"/>
          <w:sz w:val="32"/>
          <w:szCs w:val="32"/>
        </w:rPr>
        <w:t>对现有道路、建（构）筑物进行改建的，应当保持或者恢复其原有格局和历史风貌。</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第三十条</w:t>
      </w:r>
      <w:r>
        <w:rPr>
          <w:rFonts w:eastAsia="黑体"/>
          <w:color w:val="000000" w:themeColor="text1"/>
          <w:sz w:val="32"/>
          <w:szCs w:val="32"/>
        </w:rPr>
        <w:t xml:space="preserve"> </w:t>
      </w:r>
      <w:r>
        <w:rPr>
          <w:rFonts w:hAnsi="仿宋_GB2312" w:eastAsia="仿宋_GB2312"/>
          <w:color w:val="000000" w:themeColor="text1"/>
          <w:sz w:val="32"/>
          <w:szCs w:val="32"/>
        </w:rPr>
        <w:t>核心保护范围内，新建、扩建必要的基础设施和公共服务设施，</w:t>
      </w:r>
      <w:r>
        <w:rPr>
          <w:rFonts w:eastAsia="仿宋_GB2312"/>
          <w:color w:val="000000" w:themeColor="text1"/>
          <w:sz w:val="32"/>
          <w:szCs w:val="32"/>
        </w:rPr>
        <w:t>或者拆除历史建筑以外的建（构）筑物以及其他设施，</w:t>
      </w:r>
      <w:r>
        <w:rPr>
          <w:rFonts w:hAnsi="仿宋_GB2312" w:eastAsia="仿宋_GB2312"/>
          <w:color w:val="000000" w:themeColor="text1"/>
          <w:sz w:val="32"/>
          <w:szCs w:val="32"/>
        </w:rPr>
        <w:t>所在地县（市、区）人民政府相关行政主管部门批准前，应当征求</w:t>
      </w:r>
      <w:r>
        <w:rPr>
          <w:rFonts w:eastAsia="仿宋_GB2312"/>
          <w:color w:val="000000" w:themeColor="text1"/>
          <w:sz w:val="32"/>
          <w:szCs w:val="32"/>
        </w:rPr>
        <w:t>市自然资源规划行政主管部门和市</w:t>
      </w:r>
      <w:r>
        <w:rPr>
          <w:rFonts w:hAnsi="仿宋_GB2312" w:eastAsia="仿宋_GB2312"/>
          <w:color w:val="000000" w:themeColor="text1"/>
          <w:sz w:val="32"/>
          <w:szCs w:val="32"/>
        </w:rPr>
        <w:t>文物行政主管部门、公众、专家、</w:t>
      </w:r>
      <w:r>
        <w:rPr>
          <w:rFonts w:eastAsia="仿宋_GB2312"/>
          <w:color w:val="000000" w:themeColor="text1"/>
          <w:sz w:val="32"/>
          <w:szCs w:val="32"/>
        </w:rPr>
        <w:t>利害关系人</w:t>
      </w:r>
      <w:r>
        <w:rPr>
          <w:rFonts w:hAnsi="仿宋_GB2312" w:eastAsia="仿宋_GB2312"/>
          <w:color w:val="000000" w:themeColor="text1"/>
          <w:sz w:val="32"/>
          <w:szCs w:val="32"/>
        </w:rPr>
        <w:t>的意见。</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第三十一条</w:t>
      </w:r>
      <w:r>
        <w:rPr>
          <w:rFonts w:eastAsia="黑体"/>
          <w:color w:val="000000" w:themeColor="text1"/>
          <w:sz w:val="32"/>
          <w:szCs w:val="32"/>
        </w:rPr>
        <w:t xml:space="preserve"> </w:t>
      </w:r>
      <w:r>
        <w:rPr>
          <w:rFonts w:hAnsi="仿宋_GB2312" w:eastAsia="仿宋_GB2312"/>
          <w:color w:val="000000" w:themeColor="text1"/>
          <w:sz w:val="32"/>
          <w:szCs w:val="32"/>
        </w:rPr>
        <w:t>在核心保护范围</w:t>
      </w:r>
      <w:r>
        <w:rPr>
          <w:rFonts w:eastAsia="仿宋_GB2312"/>
          <w:color w:val="000000" w:themeColor="text1"/>
          <w:sz w:val="32"/>
          <w:szCs w:val="32"/>
        </w:rPr>
        <w:t>内</w:t>
      </w:r>
      <w:r>
        <w:rPr>
          <w:rFonts w:hAnsi="仿宋_GB2312" w:eastAsia="仿宋_GB2312"/>
          <w:color w:val="000000" w:themeColor="text1"/>
          <w:sz w:val="32"/>
          <w:szCs w:val="32"/>
        </w:rPr>
        <w:t>和历史建筑上，</w:t>
      </w:r>
      <w:r>
        <w:rPr>
          <w:rFonts w:eastAsia="仿宋_GB2312"/>
          <w:color w:val="000000" w:themeColor="text1"/>
          <w:sz w:val="32"/>
          <w:szCs w:val="32"/>
        </w:rPr>
        <w:t>禁止</w:t>
      </w:r>
      <w:r>
        <w:rPr>
          <w:rFonts w:hAnsi="仿宋_GB2312" w:eastAsia="仿宋_GB2312"/>
          <w:color w:val="000000" w:themeColor="text1"/>
          <w:sz w:val="32"/>
          <w:szCs w:val="32"/>
        </w:rPr>
        <w:t>设置户外广告。</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第三十二条</w:t>
      </w:r>
      <w:r>
        <w:rPr>
          <w:rFonts w:eastAsia="黑体"/>
          <w:color w:val="000000" w:themeColor="text1"/>
          <w:sz w:val="32"/>
          <w:szCs w:val="32"/>
        </w:rPr>
        <w:t xml:space="preserve"> </w:t>
      </w:r>
      <w:r>
        <w:rPr>
          <w:rFonts w:hAnsi="仿宋_GB2312" w:eastAsia="仿宋_GB2312"/>
          <w:color w:val="000000" w:themeColor="text1"/>
          <w:sz w:val="32"/>
          <w:szCs w:val="32"/>
        </w:rPr>
        <w:t>保护范围内的公共基础设施建设达不到现行规范标准的，住房城乡建设行政主管部门应当确定公共基础设施建设方案；消防设施和消防通道达不到现行规范标准的，由市、县（市、区）人民政府消防救援机构会同同级住房城乡建设行政主管部门制定相应的防火安全保障方案。</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第三十三条</w:t>
      </w:r>
      <w:r>
        <w:rPr>
          <w:rFonts w:eastAsia="黑体"/>
          <w:color w:val="000000" w:themeColor="text1"/>
          <w:sz w:val="32"/>
          <w:szCs w:val="32"/>
        </w:rPr>
        <w:t xml:space="preserve"> </w:t>
      </w:r>
      <w:r>
        <w:rPr>
          <w:rFonts w:hAnsi="仿宋_GB2312" w:eastAsia="仿宋_GB2312"/>
          <w:color w:val="000000" w:themeColor="text1"/>
          <w:sz w:val="32"/>
          <w:szCs w:val="32"/>
        </w:rPr>
        <w:t>建设工程选址，应当尽可能避开历史建筑；因特殊情况不能避开的，应当尽可能实施原址保护。</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对历史建筑实施原址保护的，建设单位应当事先确定保护措施，报所在地县（市、区）人民政府相关行政主管部门批准，批准前应当征求公众、专家和</w:t>
      </w:r>
      <w:r>
        <w:rPr>
          <w:rFonts w:eastAsia="仿宋_GB2312"/>
          <w:color w:val="000000" w:themeColor="text1"/>
          <w:sz w:val="32"/>
          <w:szCs w:val="32"/>
        </w:rPr>
        <w:t>利害关系人</w:t>
      </w:r>
      <w:r>
        <w:rPr>
          <w:rFonts w:hAnsi="仿宋_GB2312" w:eastAsia="仿宋_GB2312"/>
          <w:color w:val="000000" w:themeColor="text1"/>
          <w:sz w:val="32"/>
          <w:szCs w:val="32"/>
        </w:rPr>
        <w:t>的意见。</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第三十四条</w:t>
      </w:r>
      <w:r>
        <w:rPr>
          <w:rFonts w:eastAsia="黑体"/>
          <w:color w:val="000000" w:themeColor="text1"/>
          <w:sz w:val="32"/>
          <w:szCs w:val="32"/>
        </w:rPr>
        <w:t xml:space="preserve"> </w:t>
      </w:r>
      <w:r>
        <w:rPr>
          <w:rFonts w:hAnsi="仿宋_GB2312" w:eastAsia="仿宋_GB2312"/>
          <w:color w:val="000000" w:themeColor="text1"/>
          <w:sz w:val="32"/>
          <w:szCs w:val="32"/>
        </w:rPr>
        <w:t>历史建筑的所有权人，应当按照保护规划的要求，负责历史建筑的维护和修缮。</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市、县（市、区）人民政府应当对历史建筑的维护和修缮给予补助，具体办法由市人民政府制定。</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历史建筑有损毁危险，所有权人不具备维护和修缮能力的，所在地县（市、区）人民政府应当采取措施进行保护。对损毁、灭失的历史建筑，有条件的应当恢复。</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第三十五条</w:t>
      </w:r>
      <w:r>
        <w:rPr>
          <w:rFonts w:eastAsia="黑体"/>
          <w:color w:val="000000" w:themeColor="text1"/>
          <w:sz w:val="32"/>
          <w:szCs w:val="32"/>
        </w:rPr>
        <w:t xml:space="preserve"> </w:t>
      </w:r>
      <w:r>
        <w:rPr>
          <w:rFonts w:hAnsi="仿宋_GB2312" w:eastAsia="仿宋_GB2312"/>
          <w:color w:val="000000" w:themeColor="text1"/>
          <w:sz w:val="32"/>
          <w:szCs w:val="32"/>
        </w:rPr>
        <w:t>对历史建筑进行</w:t>
      </w:r>
      <w:r>
        <w:rPr>
          <w:rFonts w:eastAsia="仿宋_GB2312"/>
          <w:color w:val="000000" w:themeColor="text1"/>
          <w:sz w:val="32"/>
          <w:szCs w:val="32"/>
        </w:rPr>
        <w:t>外部</w:t>
      </w:r>
      <w:r>
        <w:rPr>
          <w:rFonts w:hAnsi="仿宋_GB2312" w:eastAsia="仿宋_GB2312"/>
          <w:color w:val="000000" w:themeColor="text1"/>
          <w:sz w:val="32"/>
          <w:szCs w:val="32"/>
        </w:rPr>
        <w:t>修缮</w:t>
      </w:r>
      <w:r>
        <w:rPr>
          <w:rFonts w:eastAsia="仿宋_GB2312"/>
          <w:color w:val="000000" w:themeColor="text1"/>
          <w:sz w:val="32"/>
          <w:szCs w:val="32"/>
        </w:rPr>
        <w:t>装饰</w:t>
      </w:r>
      <w:r>
        <w:rPr>
          <w:rFonts w:hAnsi="仿宋_GB2312" w:eastAsia="仿宋_GB2312"/>
          <w:color w:val="000000" w:themeColor="text1"/>
          <w:sz w:val="32"/>
          <w:szCs w:val="32"/>
        </w:rPr>
        <w:t>、</w:t>
      </w:r>
      <w:r>
        <w:rPr>
          <w:rFonts w:eastAsia="仿宋_GB2312"/>
          <w:color w:val="000000" w:themeColor="text1"/>
          <w:sz w:val="32"/>
          <w:szCs w:val="32"/>
        </w:rPr>
        <w:t>添加设施以及</w:t>
      </w:r>
      <w:r>
        <w:rPr>
          <w:rFonts w:hAnsi="仿宋_GB2312" w:eastAsia="仿宋_GB2312"/>
          <w:color w:val="000000" w:themeColor="text1"/>
          <w:sz w:val="32"/>
          <w:szCs w:val="32"/>
        </w:rPr>
        <w:t>改变历史建筑的结构或者使用性质的，应当报所在地县（市、区）人民政府相关行政主管部门批准，批准前应当征求公众、专家和</w:t>
      </w:r>
      <w:r>
        <w:rPr>
          <w:rFonts w:eastAsia="仿宋_GB2312"/>
          <w:color w:val="000000" w:themeColor="text1"/>
          <w:sz w:val="32"/>
          <w:szCs w:val="32"/>
        </w:rPr>
        <w:t>利害关系人</w:t>
      </w:r>
      <w:r>
        <w:rPr>
          <w:rFonts w:hAnsi="仿宋_GB2312" w:eastAsia="仿宋_GB2312"/>
          <w:color w:val="000000" w:themeColor="text1"/>
          <w:sz w:val="32"/>
          <w:szCs w:val="32"/>
        </w:rPr>
        <w:t>的意见，并依照有关法律、法规的规定办理相关手续。</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第三十六条</w:t>
      </w:r>
      <w:r>
        <w:rPr>
          <w:rFonts w:eastAsia="黑体"/>
          <w:color w:val="000000" w:themeColor="text1"/>
          <w:sz w:val="32"/>
          <w:szCs w:val="32"/>
        </w:rPr>
        <w:t xml:space="preserve"> </w:t>
      </w:r>
      <w:r>
        <w:rPr>
          <w:rFonts w:hAnsi="仿宋_GB2312" w:eastAsia="仿宋_GB2312"/>
          <w:color w:val="000000" w:themeColor="text1"/>
          <w:sz w:val="32"/>
          <w:szCs w:val="32"/>
        </w:rPr>
        <w:t>历史文化名镇、历史文化名村、</w:t>
      </w:r>
      <w:r>
        <w:rPr>
          <w:rFonts w:eastAsia="仿宋_GB2312"/>
          <w:color w:val="000000" w:themeColor="text1"/>
          <w:sz w:val="32"/>
          <w:szCs w:val="32"/>
        </w:rPr>
        <w:t>历史村镇</w:t>
      </w:r>
      <w:r>
        <w:rPr>
          <w:rFonts w:hAnsi="仿宋_GB2312" w:eastAsia="仿宋_GB2312"/>
          <w:color w:val="000000" w:themeColor="text1"/>
          <w:sz w:val="32"/>
          <w:szCs w:val="32"/>
        </w:rPr>
        <w:t>、历史文化街区、历史地段、历史建筑的名称，</w:t>
      </w:r>
      <w:r>
        <w:rPr>
          <w:rFonts w:eastAsia="仿宋_GB2312"/>
          <w:color w:val="000000" w:themeColor="text1"/>
          <w:sz w:val="32"/>
          <w:szCs w:val="32"/>
        </w:rPr>
        <w:t>未经批准不得更改</w:t>
      </w:r>
      <w:r>
        <w:rPr>
          <w:rFonts w:hAnsi="仿宋_GB2312" w:eastAsia="仿宋_GB2312"/>
          <w:color w:val="000000" w:themeColor="text1"/>
          <w:sz w:val="32"/>
          <w:szCs w:val="32"/>
        </w:rPr>
        <w:t>。</w:t>
      </w:r>
    </w:p>
    <w:p>
      <w:pPr>
        <w:spacing w:line="592" w:lineRule="exact"/>
        <w:ind w:firstLine="640" w:firstLineChars="200"/>
        <w:rPr>
          <w:rFonts w:eastAsia="仿宋_GB2312"/>
          <w:color w:val="000000" w:themeColor="text1"/>
          <w:sz w:val="32"/>
          <w:szCs w:val="32"/>
        </w:rPr>
      </w:pPr>
      <w:r>
        <w:rPr>
          <w:rFonts w:eastAsia="仿宋_GB2312"/>
          <w:color w:val="000000" w:themeColor="text1"/>
          <w:sz w:val="32"/>
          <w:szCs w:val="32"/>
        </w:rPr>
        <w:t>市、县（市、区）人民政府</w:t>
      </w:r>
      <w:r>
        <w:rPr>
          <w:rFonts w:hAnsi="仿宋_GB2312" w:eastAsia="仿宋_GB2312"/>
          <w:color w:val="000000" w:themeColor="text1"/>
          <w:sz w:val="32"/>
          <w:szCs w:val="32"/>
        </w:rPr>
        <w:t>应当对保护对象设置保护标志（识），任何单位、个人不得擅自设置、移动或者涂改、损毁保护标志（识）。</w:t>
      </w:r>
    </w:p>
    <w:p>
      <w:pPr>
        <w:spacing w:line="592" w:lineRule="exact"/>
        <w:ind w:firstLine="640" w:firstLineChars="200"/>
        <w:rPr>
          <w:rFonts w:eastAsia="仿宋"/>
          <w:color w:val="000000" w:themeColor="text1"/>
          <w:sz w:val="32"/>
          <w:szCs w:val="32"/>
        </w:rPr>
      </w:pPr>
    </w:p>
    <w:p>
      <w:pPr>
        <w:spacing w:line="592" w:lineRule="exact"/>
        <w:ind w:firstLine="640" w:firstLineChars="200"/>
        <w:jc w:val="center"/>
        <w:rPr>
          <w:rFonts w:eastAsia="黑体"/>
          <w:color w:val="000000" w:themeColor="text1"/>
          <w:sz w:val="32"/>
          <w:szCs w:val="32"/>
        </w:rPr>
      </w:pPr>
      <w:r>
        <w:rPr>
          <w:rFonts w:hAnsi="黑体" w:eastAsia="黑体"/>
          <w:color w:val="000000" w:themeColor="text1"/>
          <w:sz w:val="32"/>
          <w:szCs w:val="32"/>
        </w:rPr>
        <w:t>第五章</w:t>
      </w:r>
      <w:r>
        <w:rPr>
          <w:rFonts w:eastAsia="黑体"/>
          <w:color w:val="000000" w:themeColor="text1"/>
          <w:sz w:val="32"/>
          <w:szCs w:val="32"/>
        </w:rPr>
        <w:t xml:space="preserve">  </w:t>
      </w:r>
      <w:r>
        <w:rPr>
          <w:rFonts w:hAnsi="黑体" w:eastAsia="黑体"/>
          <w:color w:val="000000" w:themeColor="text1"/>
          <w:sz w:val="32"/>
          <w:szCs w:val="32"/>
        </w:rPr>
        <w:t>法律责任</w:t>
      </w:r>
    </w:p>
    <w:p>
      <w:pPr>
        <w:spacing w:line="592" w:lineRule="exact"/>
        <w:ind w:firstLine="640" w:firstLineChars="200"/>
        <w:rPr>
          <w:rFonts w:eastAsia="黑体"/>
          <w:color w:val="000000" w:themeColor="text1"/>
          <w:sz w:val="32"/>
          <w:szCs w:val="32"/>
        </w:rPr>
      </w:pP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第三十七条</w:t>
      </w:r>
      <w:r>
        <w:rPr>
          <w:rFonts w:eastAsia="仿宋_GB2312"/>
          <w:color w:val="000000" w:themeColor="text1"/>
          <w:sz w:val="32"/>
          <w:szCs w:val="32"/>
        </w:rPr>
        <w:t xml:space="preserve"> </w:t>
      </w:r>
      <w:r>
        <w:rPr>
          <w:rFonts w:hAnsi="仿宋_GB2312" w:eastAsia="仿宋_GB2312"/>
          <w:color w:val="000000" w:themeColor="text1"/>
          <w:sz w:val="32"/>
          <w:szCs w:val="32"/>
        </w:rPr>
        <w:t>国家机关工作人员在历史文化名城保护工作中，滥用职权、玩忽职守、徇私舞弊的，依法给予处分；构成犯罪的，依法追究刑事责任。</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第三十八条</w:t>
      </w:r>
      <w:r>
        <w:rPr>
          <w:rFonts w:eastAsia="黑体"/>
          <w:color w:val="000000" w:themeColor="text1"/>
          <w:sz w:val="32"/>
          <w:szCs w:val="32"/>
        </w:rPr>
        <w:t xml:space="preserve"> </w:t>
      </w:r>
      <w:r>
        <w:rPr>
          <w:rFonts w:hAnsi="仿宋_GB2312" w:eastAsia="仿宋_GB2312"/>
          <w:color w:val="000000" w:themeColor="text1"/>
          <w:sz w:val="32"/>
          <w:szCs w:val="32"/>
        </w:rPr>
        <w:t>违反本条例第二十六条</w:t>
      </w:r>
      <w:r>
        <w:rPr>
          <w:rFonts w:eastAsia="仿宋_GB2312"/>
          <w:color w:val="000000" w:themeColor="text1"/>
          <w:sz w:val="32"/>
          <w:szCs w:val="32"/>
        </w:rPr>
        <w:t>第一项至第四项规定的，由所在地县（市、区）人民政府相关行政主管部门责令停止违法行为、限期恢复原状或者采取其他补救措施；有违法所得的，由城市管理行政主管部门没收违法所得；逾期不恢复原状或者不采取其他补救措施的，所在地县（市、区）人民政府指定有能力的单位代为恢复原状或者采取其他补救措施，所需费用由违法者承担；造成损失的，依法承担赔偿责任；造成严重后果的，由城市管理行政主管部门按照下列规定予以处罚：</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（一）违反第一项至第三项规定的，对单位并处</w:t>
      </w:r>
      <w:r>
        <w:rPr>
          <w:rFonts w:eastAsia="仿宋_GB2312"/>
          <w:color w:val="000000" w:themeColor="text1"/>
          <w:sz w:val="32"/>
          <w:szCs w:val="32"/>
        </w:rPr>
        <w:t>50</w:t>
      </w:r>
      <w:r>
        <w:rPr>
          <w:rFonts w:hAnsi="仿宋_GB2312" w:eastAsia="仿宋_GB2312"/>
          <w:color w:val="000000" w:themeColor="text1"/>
          <w:sz w:val="32"/>
          <w:szCs w:val="32"/>
        </w:rPr>
        <w:t>万元以上</w:t>
      </w:r>
      <w:r>
        <w:rPr>
          <w:rFonts w:eastAsia="仿宋_GB2312"/>
          <w:color w:val="000000" w:themeColor="text1"/>
          <w:sz w:val="32"/>
          <w:szCs w:val="32"/>
        </w:rPr>
        <w:t>100</w:t>
      </w:r>
      <w:r>
        <w:rPr>
          <w:rFonts w:hAnsi="仿宋_GB2312" w:eastAsia="仿宋_GB2312"/>
          <w:color w:val="000000" w:themeColor="text1"/>
          <w:sz w:val="32"/>
          <w:szCs w:val="32"/>
        </w:rPr>
        <w:t>万元以下罚款，对个人并处</w:t>
      </w:r>
      <w:r>
        <w:rPr>
          <w:rFonts w:eastAsia="仿宋_GB2312"/>
          <w:color w:val="000000" w:themeColor="text1"/>
          <w:sz w:val="32"/>
          <w:szCs w:val="32"/>
        </w:rPr>
        <w:t>5</w:t>
      </w:r>
      <w:r>
        <w:rPr>
          <w:rFonts w:hAnsi="仿宋_GB2312" w:eastAsia="仿宋_GB2312"/>
          <w:color w:val="000000" w:themeColor="text1"/>
          <w:sz w:val="32"/>
          <w:szCs w:val="32"/>
        </w:rPr>
        <w:t>万元以上</w:t>
      </w:r>
      <w:r>
        <w:rPr>
          <w:rFonts w:eastAsia="仿宋_GB2312"/>
          <w:color w:val="000000" w:themeColor="text1"/>
          <w:sz w:val="32"/>
          <w:szCs w:val="32"/>
        </w:rPr>
        <w:t>10</w:t>
      </w:r>
      <w:r>
        <w:rPr>
          <w:rFonts w:hAnsi="仿宋_GB2312" w:eastAsia="仿宋_GB2312"/>
          <w:color w:val="000000" w:themeColor="text1"/>
          <w:sz w:val="32"/>
          <w:szCs w:val="32"/>
        </w:rPr>
        <w:t>万元以下罚款；</w:t>
      </w:r>
    </w:p>
    <w:p>
      <w:pPr>
        <w:spacing w:line="592"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（二）违反第四项规定的，对单位并处</w:t>
      </w:r>
      <w:r>
        <w:rPr>
          <w:rFonts w:eastAsia="仿宋_GB2312"/>
          <w:color w:val="000000" w:themeColor="text1"/>
          <w:sz w:val="32"/>
          <w:szCs w:val="32"/>
        </w:rPr>
        <w:t>20</w:t>
      </w:r>
      <w:r>
        <w:rPr>
          <w:rFonts w:hAnsi="仿宋_GB2312" w:eastAsia="仿宋_GB2312"/>
          <w:color w:val="000000" w:themeColor="text1"/>
          <w:sz w:val="32"/>
          <w:szCs w:val="32"/>
        </w:rPr>
        <w:t>万元以上</w:t>
      </w:r>
      <w:r>
        <w:rPr>
          <w:rFonts w:eastAsia="仿宋_GB2312"/>
          <w:color w:val="000000" w:themeColor="text1"/>
          <w:sz w:val="32"/>
          <w:szCs w:val="32"/>
        </w:rPr>
        <w:t>50</w:t>
      </w:r>
      <w:r>
        <w:rPr>
          <w:rFonts w:hAnsi="仿宋_GB2312" w:eastAsia="仿宋_GB2312"/>
          <w:color w:val="000000" w:themeColor="text1"/>
          <w:sz w:val="32"/>
          <w:szCs w:val="32"/>
        </w:rPr>
        <w:t>万元以下罚款，对个人并处</w:t>
      </w:r>
      <w:r>
        <w:rPr>
          <w:rFonts w:eastAsia="仿宋_GB2312"/>
          <w:color w:val="000000" w:themeColor="text1"/>
          <w:sz w:val="32"/>
          <w:szCs w:val="32"/>
        </w:rPr>
        <w:t>10</w:t>
      </w:r>
      <w:r>
        <w:rPr>
          <w:rFonts w:hAnsi="仿宋_GB2312" w:eastAsia="仿宋_GB2312"/>
          <w:color w:val="000000" w:themeColor="text1"/>
          <w:sz w:val="32"/>
          <w:szCs w:val="32"/>
        </w:rPr>
        <w:t>万元以上</w:t>
      </w:r>
      <w:r>
        <w:rPr>
          <w:rFonts w:eastAsia="仿宋_GB2312"/>
          <w:color w:val="000000" w:themeColor="text1"/>
          <w:sz w:val="32"/>
          <w:szCs w:val="32"/>
        </w:rPr>
        <w:t>20</w:t>
      </w:r>
      <w:r>
        <w:rPr>
          <w:rFonts w:hAnsi="仿宋_GB2312" w:eastAsia="仿宋_GB2312"/>
          <w:color w:val="000000" w:themeColor="text1"/>
          <w:sz w:val="32"/>
          <w:szCs w:val="32"/>
        </w:rPr>
        <w:t>万元以下罚款。</w:t>
      </w:r>
    </w:p>
    <w:p>
      <w:pPr>
        <w:tabs>
          <w:tab w:val="left" w:pos="750"/>
        </w:tabs>
        <w:spacing w:line="592" w:lineRule="exact"/>
        <w:ind w:firstLine="640" w:firstLineChars="200"/>
        <w:rPr>
          <w:rFonts w:eastAsia="仿宋_GB2312"/>
          <w:color w:val="000000" w:themeColor="text1"/>
          <w:kern w:val="0"/>
          <w:sz w:val="32"/>
          <w:szCs w:val="32"/>
        </w:rPr>
      </w:pPr>
      <w:r>
        <w:rPr>
          <w:rFonts w:hAnsi="黑体" w:eastAsia="黑体"/>
          <w:color w:val="000000" w:themeColor="text1"/>
          <w:sz w:val="32"/>
          <w:szCs w:val="32"/>
        </w:rPr>
        <w:t>第三十九条</w:t>
      </w:r>
      <w:r>
        <w:rPr>
          <w:rFonts w:eastAsia="黑体"/>
          <w:color w:val="000000" w:themeColor="text1"/>
          <w:sz w:val="32"/>
          <w:szCs w:val="32"/>
        </w:rPr>
        <w:t xml:space="preserve"> </w:t>
      </w:r>
      <w:r>
        <w:rPr>
          <w:rFonts w:hAnsi="仿宋_GB2312" w:eastAsia="仿宋_GB2312"/>
          <w:color w:val="000000" w:themeColor="text1"/>
          <w:sz w:val="32"/>
          <w:szCs w:val="32"/>
        </w:rPr>
        <w:t>违反本条例第二十六条第五项、第八项规定的，</w:t>
      </w:r>
      <w:r>
        <w:rPr>
          <w:rFonts w:eastAsia="仿宋_GB2312"/>
          <w:color w:val="000000" w:themeColor="text1"/>
          <w:sz w:val="32"/>
          <w:szCs w:val="32"/>
        </w:rPr>
        <w:t>由所在地县（市、区）人民政府相关行政主管部门责令停止违法行为，限期修复；逾期不修复的，由所在地县（市、区）人民政府组织修复，所需费用由违法者承担，</w:t>
      </w:r>
      <w:r>
        <w:rPr>
          <w:rFonts w:hAnsi="仿宋_GB2312" w:eastAsia="仿宋_GB2312"/>
          <w:color w:val="000000" w:themeColor="text1"/>
          <w:sz w:val="32"/>
          <w:szCs w:val="32"/>
        </w:rPr>
        <w:t>由城市管理行政主管部门并处</w:t>
      </w:r>
      <w:r>
        <w:rPr>
          <w:rFonts w:eastAsia="仿宋_GB2312"/>
          <w:color w:val="000000" w:themeColor="text1"/>
          <w:sz w:val="32"/>
          <w:szCs w:val="32"/>
        </w:rPr>
        <w:t>1</w:t>
      </w:r>
      <w:r>
        <w:rPr>
          <w:rFonts w:hAnsi="仿宋_GB2312" w:eastAsia="仿宋_GB2312"/>
          <w:color w:val="000000" w:themeColor="text1"/>
          <w:sz w:val="32"/>
          <w:szCs w:val="32"/>
        </w:rPr>
        <w:t>万元以上</w:t>
      </w:r>
      <w:r>
        <w:rPr>
          <w:rFonts w:eastAsia="仿宋_GB2312"/>
          <w:color w:val="000000" w:themeColor="text1"/>
          <w:sz w:val="32"/>
          <w:szCs w:val="32"/>
        </w:rPr>
        <w:t>10</w:t>
      </w:r>
      <w:r>
        <w:rPr>
          <w:rFonts w:hAnsi="仿宋_GB2312" w:eastAsia="仿宋_GB2312"/>
          <w:color w:val="000000" w:themeColor="text1"/>
          <w:sz w:val="32"/>
          <w:szCs w:val="32"/>
        </w:rPr>
        <w:t>万元以下罚款。</w:t>
      </w:r>
    </w:p>
    <w:p>
      <w:pPr>
        <w:tabs>
          <w:tab w:val="left" w:pos="750"/>
        </w:tabs>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第四十条</w:t>
      </w:r>
      <w:r>
        <w:rPr>
          <w:rFonts w:eastAsia="黑体"/>
          <w:color w:val="000000" w:themeColor="text1"/>
          <w:sz w:val="32"/>
          <w:szCs w:val="32"/>
        </w:rPr>
        <w:t xml:space="preserve"> </w:t>
      </w:r>
      <w:r>
        <w:rPr>
          <w:rFonts w:hAnsi="仿宋_GB2312" w:eastAsia="仿宋_GB2312"/>
          <w:color w:val="000000" w:themeColor="text1"/>
          <w:sz w:val="32"/>
          <w:szCs w:val="32"/>
        </w:rPr>
        <w:t>违反本条例第二十六条第六项规定的，</w:t>
      </w:r>
      <w:r>
        <w:rPr>
          <w:rFonts w:eastAsia="仿宋_GB2312"/>
          <w:color w:val="000000" w:themeColor="text1"/>
          <w:sz w:val="32"/>
          <w:szCs w:val="32"/>
        </w:rPr>
        <w:t>由所在地县（市、区）人民政府相关行政主管部门责令限期改正，恢复原状；逾期不改正的，由所在地县（市、区）人民政府依法拆除，由城市管理行政主管部门</w:t>
      </w:r>
      <w:r>
        <w:rPr>
          <w:rFonts w:hAnsi="仿宋_GB2312" w:eastAsia="仿宋_GB2312"/>
          <w:color w:val="000000" w:themeColor="text1"/>
          <w:sz w:val="32"/>
          <w:szCs w:val="32"/>
        </w:rPr>
        <w:t>并处</w:t>
      </w:r>
      <w:r>
        <w:rPr>
          <w:rFonts w:eastAsia="仿宋_GB2312"/>
          <w:color w:val="000000" w:themeColor="text1"/>
          <w:sz w:val="32"/>
          <w:szCs w:val="32"/>
        </w:rPr>
        <w:t>1</w:t>
      </w:r>
      <w:r>
        <w:rPr>
          <w:rFonts w:hAnsi="仿宋_GB2312" w:eastAsia="仿宋_GB2312"/>
          <w:color w:val="000000" w:themeColor="text1"/>
          <w:sz w:val="32"/>
          <w:szCs w:val="32"/>
        </w:rPr>
        <w:t>万元以上</w:t>
      </w:r>
      <w:r>
        <w:rPr>
          <w:rFonts w:eastAsia="仿宋_GB2312"/>
          <w:color w:val="000000" w:themeColor="text1"/>
          <w:sz w:val="32"/>
          <w:szCs w:val="32"/>
        </w:rPr>
        <w:t>10</w:t>
      </w:r>
      <w:r>
        <w:rPr>
          <w:rFonts w:hAnsi="仿宋_GB2312" w:eastAsia="仿宋_GB2312"/>
          <w:color w:val="000000" w:themeColor="text1"/>
          <w:sz w:val="32"/>
          <w:szCs w:val="32"/>
        </w:rPr>
        <w:t>万元以下罚款。</w:t>
      </w:r>
    </w:p>
    <w:p>
      <w:pPr>
        <w:tabs>
          <w:tab w:val="left" w:pos="750"/>
        </w:tabs>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第四十一条</w:t>
      </w:r>
      <w:r>
        <w:rPr>
          <w:rFonts w:eastAsia="仿宋_GB2312"/>
          <w:color w:val="000000" w:themeColor="text1"/>
          <w:sz w:val="32"/>
          <w:szCs w:val="32"/>
        </w:rPr>
        <w:t xml:space="preserve"> </w:t>
      </w:r>
      <w:r>
        <w:rPr>
          <w:rFonts w:hAnsi="仿宋_GB2312" w:eastAsia="仿宋_GB2312"/>
          <w:color w:val="000000" w:themeColor="text1"/>
          <w:sz w:val="32"/>
          <w:szCs w:val="32"/>
        </w:rPr>
        <w:t>违反本条例第二十六条第七项规定的，</w:t>
      </w:r>
      <w:r>
        <w:rPr>
          <w:rFonts w:eastAsia="仿宋_GB2312"/>
          <w:color w:val="000000" w:themeColor="text1"/>
          <w:sz w:val="32"/>
          <w:szCs w:val="32"/>
        </w:rPr>
        <w:t>由所在地县（市、区）人民政府相关行政主管部门责令恢复原状或者采取其他补救措施，由城市管理行政主管部门</w:t>
      </w:r>
      <w:r>
        <w:rPr>
          <w:rFonts w:hAnsi="仿宋_GB2312" w:eastAsia="仿宋_GB2312"/>
          <w:color w:val="000000" w:themeColor="text1"/>
          <w:sz w:val="32"/>
          <w:szCs w:val="32"/>
        </w:rPr>
        <w:t>并处</w:t>
      </w:r>
      <w:r>
        <w:rPr>
          <w:rFonts w:eastAsia="仿宋_GB2312"/>
          <w:color w:val="000000" w:themeColor="text1"/>
          <w:sz w:val="32"/>
          <w:szCs w:val="32"/>
        </w:rPr>
        <w:t>50</w:t>
      </w:r>
      <w:r>
        <w:rPr>
          <w:rFonts w:hAnsi="仿宋_GB2312" w:eastAsia="仿宋_GB2312"/>
          <w:color w:val="000000" w:themeColor="text1"/>
          <w:sz w:val="32"/>
          <w:szCs w:val="32"/>
        </w:rPr>
        <w:t>元罚款。</w:t>
      </w:r>
    </w:p>
    <w:p>
      <w:pPr>
        <w:spacing w:line="592" w:lineRule="exact"/>
        <w:ind w:firstLine="640" w:firstLineChars="200"/>
        <w:rPr>
          <w:rFonts w:eastAsia="仿宋_GB2312"/>
          <w:color w:val="000000" w:themeColor="text1"/>
          <w:sz w:val="32"/>
          <w:szCs w:val="32"/>
        </w:rPr>
      </w:pPr>
      <w:r>
        <w:rPr>
          <w:rFonts w:hAnsi="黑体" w:eastAsia="黑体"/>
          <w:color w:val="000000" w:themeColor="text1"/>
          <w:sz w:val="32"/>
          <w:szCs w:val="32"/>
        </w:rPr>
        <w:t>第四十二条</w:t>
      </w:r>
      <w:r>
        <w:rPr>
          <w:rFonts w:eastAsia="黑体"/>
          <w:color w:val="000000" w:themeColor="text1"/>
          <w:sz w:val="32"/>
          <w:szCs w:val="32"/>
        </w:rPr>
        <w:t xml:space="preserve"> </w:t>
      </w:r>
      <w:r>
        <w:rPr>
          <w:rFonts w:hAnsi="仿宋_GB2312" w:eastAsia="仿宋_GB2312"/>
          <w:color w:val="000000" w:themeColor="text1"/>
          <w:sz w:val="32"/>
          <w:szCs w:val="32"/>
        </w:rPr>
        <w:t>违反本条例第三十一条规定的，</w:t>
      </w:r>
      <w:r>
        <w:rPr>
          <w:rFonts w:eastAsia="仿宋_GB2312"/>
          <w:color w:val="000000" w:themeColor="text1"/>
          <w:sz w:val="32"/>
          <w:szCs w:val="32"/>
        </w:rPr>
        <w:t>由所在地县（市、区）人民政府相关行政主管部门责令限期改正；逾期不改正的，由城市管理行政主管部门对单位处1万</w:t>
      </w:r>
      <w:r>
        <w:rPr>
          <w:rFonts w:hAnsi="仿宋_GB2312" w:eastAsia="仿宋_GB2312"/>
          <w:color w:val="000000" w:themeColor="text1"/>
          <w:sz w:val="32"/>
          <w:szCs w:val="32"/>
        </w:rPr>
        <w:t>元以上</w:t>
      </w:r>
      <w:r>
        <w:rPr>
          <w:rFonts w:eastAsia="仿宋_GB2312"/>
          <w:color w:val="000000" w:themeColor="text1"/>
          <w:sz w:val="32"/>
          <w:szCs w:val="32"/>
        </w:rPr>
        <w:t>2</w:t>
      </w:r>
      <w:r>
        <w:rPr>
          <w:rFonts w:hAnsi="仿宋_GB2312" w:eastAsia="仿宋_GB2312"/>
          <w:color w:val="000000" w:themeColor="text1"/>
          <w:sz w:val="32"/>
          <w:szCs w:val="32"/>
        </w:rPr>
        <w:t>万元以下罚款，对个人处</w:t>
      </w:r>
      <w:r>
        <w:rPr>
          <w:rFonts w:eastAsia="仿宋_GB2312"/>
          <w:color w:val="000000" w:themeColor="text1"/>
          <w:sz w:val="32"/>
          <w:szCs w:val="32"/>
        </w:rPr>
        <w:t>500</w:t>
      </w:r>
      <w:r>
        <w:rPr>
          <w:rFonts w:hAnsi="仿宋_GB2312" w:eastAsia="仿宋_GB2312"/>
          <w:color w:val="000000" w:themeColor="text1"/>
          <w:sz w:val="32"/>
          <w:szCs w:val="32"/>
        </w:rPr>
        <w:t>元以上</w:t>
      </w:r>
      <w:r>
        <w:rPr>
          <w:rFonts w:eastAsia="仿宋_GB2312"/>
          <w:color w:val="000000" w:themeColor="text1"/>
          <w:sz w:val="32"/>
          <w:szCs w:val="32"/>
        </w:rPr>
        <w:t>2000</w:t>
      </w:r>
      <w:r>
        <w:rPr>
          <w:rFonts w:hAnsi="仿宋_GB2312" w:eastAsia="仿宋_GB2312"/>
          <w:color w:val="000000" w:themeColor="text1"/>
          <w:sz w:val="32"/>
          <w:szCs w:val="32"/>
        </w:rPr>
        <w:t>元以下罚款。</w:t>
      </w:r>
    </w:p>
    <w:p>
      <w:pPr>
        <w:spacing w:line="560" w:lineRule="exact"/>
        <w:ind w:firstLine="640" w:firstLineChars="200"/>
        <w:rPr>
          <w:rFonts w:eastAsia="仿宋_GB2312"/>
          <w:color w:val="000000" w:themeColor="text1"/>
          <w:sz w:val="32"/>
          <w:szCs w:val="32"/>
        </w:rPr>
      </w:pPr>
      <w:r>
        <w:rPr>
          <w:rFonts w:hAnsi="黑体" w:eastAsia="黑体"/>
          <w:color w:val="000000" w:themeColor="text1"/>
          <w:sz w:val="32"/>
          <w:szCs w:val="32"/>
        </w:rPr>
        <w:t>第四十三条</w:t>
      </w:r>
      <w:r>
        <w:rPr>
          <w:rFonts w:eastAsia="黑体"/>
          <w:color w:val="000000" w:themeColor="text1"/>
          <w:sz w:val="32"/>
          <w:szCs w:val="32"/>
        </w:rPr>
        <w:t xml:space="preserve"> </w:t>
      </w:r>
      <w:r>
        <w:rPr>
          <w:rFonts w:hAnsi="仿宋_GB2312" w:eastAsia="仿宋_GB2312"/>
          <w:color w:val="000000" w:themeColor="text1"/>
          <w:sz w:val="32"/>
          <w:szCs w:val="32"/>
        </w:rPr>
        <w:t>违反本条例第三十六条规定</w:t>
      </w:r>
      <w:r>
        <w:rPr>
          <w:rFonts w:hint="eastAsia" w:hAnsi="仿宋_GB2312" w:eastAsia="仿宋_GB2312"/>
          <w:color w:val="000000" w:themeColor="text1"/>
          <w:sz w:val="32"/>
          <w:szCs w:val="32"/>
        </w:rPr>
        <w:t>，</w:t>
      </w:r>
      <w:r>
        <w:rPr>
          <w:rFonts w:hint="eastAsia" w:ascii="仿宋_GB2312" w:hAnsi="黑体" w:eastAsia="仿宋_GB2312"/>
          <w:color w:val="000000" w:themeColor="text1"/>
          <w:sz w:val="32"/>
          <w:szCs w:val="32"/>
        </w:rPr>
        <w:t>擅自设置、移动或者涂改、损毁保护标志（识）</w:t>
      </w:r>
      <w:r>
        <w:rPr>
          <w:rFonts w:hAnsi="仿宋_GB2312" w:eastAsia="仿宋_GB2312"/>
          <w:color w:val="000000" w:themeColor="text1"/>
          <w:sz w:val="32"/>
          <w:szCs w:val="32"/>
        </w:rPr>
        <w:t>的，由所在地县（市、区）人民政府相关行政主管部门责令限期改正；逾期不改正的，由城市管理行政主管部门对单位处</w:t>
      </w:r>
      <w:r>
        <w:rPr>
          <w:rFonts w:eastAsia="仿宋_GB2312"/>
          <w:color w:val="000000" w:themeColor="text1"/>
          <w:sz w:val="32"/>
          <w:szCs w:val="32"/>
        </w:rPr>
        <w:t>1</w:t>
      </w:r>
      <w:r>
        <w:rPr>
          <w:rFonts w:hAnsi="仿宋_GB2312" w:eastAsia="仿宋_GB2312"/>
          <w:color w:val="000000" w:themeColor="text1"/>
          <w:sz w:val="32"/>
          <w:szCs w:val="32"/>
        </w:rPr>
        <w:t>万元以上</w:t>
      </w:r>
      <w:r>
        <w:rPr>
          <w:rFonts w:eastAsia="仿宋_GB2312"/>
          <w:color w:val="000000" w:themeColor="text1"/>
          <w:sz w:val="32"/>
          <w:szCs w:val="32"/>
        </w:rPr>
        <w:t>5</w:t>
      </w:r>
      <w:r>
        <w:rPr>
          <w:rFonts w:hAnsi="仿宋_GB2312" w:eastAsia="仿宋_GB2312"/>
          <w:color w:val="000000" w:themeColor="text1"/>
          <w:sz w:val="32"/>
          <w:szCs w:val="32"/>
        </w:rPr>
        <w:t>万元以下罚款，对个人处</w:t>
      </w:r>
      <w:r>
        <w:rPr>
          <w:rFonts w:eastAsia="仿宋_GB2312"/>
          <w:color w:val="000000" w:themeColor="text1"/>
          <w:sz w:val="32"/>
          <w:szCs w:val="32"/>
        </w:rPr>
        <w:t>1000</w:t>
      </w:r>
      <w:r>
        <w:rPr>
          <w:rFonts w:hAnsi="仿宋_GB2312" w:eastAsia="仿宋_GB2312"/>
          <w:color w:val="000000" w:themeColor="text1"/>
          <w:sz w:val="32"/>
          <w:szCs w:val="32"/>
        </w:rPr>
        <w:t>元以上</w:t>
      </w:r>
      <w:r>
        <w:rPr>
          <w:rFonts w:eastAsia="仿宋_GB2312"/>
          <w:color w:val="000000" w:themeColor="text1"/>
          <w:sz w:val="32"/>
          <w:szCs w:val="32"/>
        </w:rPr>
        <w:t>1</w:t>
      </w:r>
      <w:r>
        <w:rPr>
          <w:rFonts w:hAnsi="仿宋_GB2312" w:eastAsia="仿宋_GB2312"/>
          <w:color w:val="000000" w:themeColor="text1"/>
          <w:sz w:val="32"/>
          <w:szCs w:val="32"/>
        </w:rPr>
        <w:t>万元以下罚款。</w:t>
      </w:r>
    </w:p>
    <w:p>
      <w:pPr>
        <w:spacing w:line="560" w:lineRule="exact"/>
        <w:ind w:firstLine="640" w:firstLineChars="200"/>
        <w:rPr>
          <w:rFonts w:eastAsia="仿宋_GB2312"/>
          <w:color w:val="000000" w:themeColor="text1"/>
          <w:sz w:val="32"/>
          <w:szCs w:val="32"/>
        </w:rPr>
      </w:pPr>
      <w:r>
        <w:rPr>
          <w:rFonts w:hAnsi="黑体" w:eastAsia="黑体"/>
          <w:color w:val="000000" w:themeColor="text1"/>
          <w:sz w:val="32"/>
          <w:szCs w:val="32"/>
        </w:rPr>
        <w:t>第四十四条</w:t>
      </w:r>
      <w:r>
        <w:rPr>
          <w:rFonts w:eastAsia="黑体"/>
          <w:color w:val="000000" w:themeColor="text1"/>
          <w:sz w:val="32"/>
          <w:szCs w:val="32"/>
        </w:rPr>
        <w:t xml:space="preserve"> </w:t>
      </w:r>
      <w:r>
        <w:rPr>
          <w:rFonts w:eastAsia="仿宋_GB2312"/>
          <w:color w:val="000000" w:themeColor="text1"/>
          <w:sz w:val="32"/>
          <w:szCs w:val="32"/>
        </w:rPr>
        <w:t>违反本条例其他规定的，依照有关法律、法规的规定予以处罚。</w:t>
      </w:r>
    </w:p>
    <w:p>
      <w:pPr>
        <w:spacing w:line="560" w:lineRule="exact"/>
        <w:ind w:firstLine="640" w:firstLineChars="200"/>
        <w:rPr>
          <w:rFonts w:eastAsia="仿宋"/>
          <w:color w:val="000000" w:themeColor="text1"/>
          <w:sz w:val="32"/>
          <w:szCs w:val="32"/>
        </w:rPr>
      </w:pPr>
    </w:p>
    <w:p>
      <w:pPr>
        <w:spacing w:line="560" w:lineRule="exact"/>
        <w:ind w:firstLine="640" w:firstLineChars="200"/>
        <w:jc w:val="center"/>
        <w:rPr>
          <w:rFonts w:eastAsia="黑体"/>
          <w:color w:val="000000" w:themeColor="text1"/>
          <w:sz w:val="32"/>
          <w:szCs w:val="32"/>
        </w:rPr>
      </w:pPr>
      <w:r>
        <w:rPr>
          <w:rFonts w:hAnsi="黑体" w:eastAsia="黑体"/>
          <w:color w:val="000000" w:themeColor="text1"/>
          <w:sz w:val="32"/>
          <w:szCs w:val="32"/>
        </w:rPr>
        <w:t>第六章</w:t>
      </w:r>
      <w:r>
        <w:rPr>
          <w:rFonts w:eastAsia="黑体"/>
          <w:color w:val="000000" w:themeColor="text1"/>
          <w:sz w:val="32"/>
          <w:szCs w:val="32"/>
        </w:rPr>
        <w:t xml:space="preserve">  </w:t>
      </w:r>
      <w:r>
        <w:rPr>
          <w:rFonts w:hAnsi="黑体" w:eastAsia="黑体"/>
          <w:color w:val="000000" w:themeColor="text1"/>
          <w:sz w:val="32"/>
          <w:szCs w:val="32"/>
        </w:rPr>
        <w:t>附</w:t>
      </w:r>
      <w:r>
        <w:rPr>
          <w:rFonts w:eastAsia="黑体"/>
          <w:color w:val="000000" w:themeColor="text1"/>
          <w:sz w:val="32"/>
          <w:szCs w:val="32"/>
        </w:rPr>
        <w:t xml:space="preserve">  </w:t>
      </w:r>
      <w:r>
        <w:rPr>
          <w:rFonts w:hAnsi="黑体" w:eastAsia="黑体"/>
          <w:color w:val="000000" w:themeColor="text1"/>
          <w:sz w:val="32"/>
          <w:szCs w:val="32"/>
        </w:rPr>
        <w:t>则</w:t>
      </w:r>
    </w:p>
    <w:p>
      <w:pPr>
        <w:spacing w:line="560" w:lineRule="exact"/>
        <w:ind w:firstLine="640" w:firstLineChars="200"/>
        <w:rPr>
          <w:rFonts w:eastAsia="仿宋"/>
          <w:color w:val="000000" w:themeColor="text1"/>
          <w:sz w:val="32"/>
          <w:szCs w:val="32"/>
        </w:rPr>
      </w:pPr>
    </w:p>
    <w:p>
      <w:pPr>
        <w:spacing w:line="560" w:lineRule="exact"/>
        <w:ind w:firstLine="640" w:firstLineChars="200"/>
        <w:rPr>
          <w:rFonts w:eastAsia="仿宋_GB2312"/>
          <w:color w:val="000000" w:themeColor="text1"/>
          <w:sz w:val="32"/>
          <w:szCs w:val="32"/>
        </w:rPr>
      </w:pPr>
      <w:r>
        <w:rPr>
          <w:rFonts w:hAnsi="黑体" w:eastAsia="黑体"/>
          <w:color w:val="000000" w:themeColor="text1"/>
          <w:sz w:val="32"/>
          <w:szCs w:val="32"/>
        </w:rPr>
        <w:t>第四十五条</w:t>
      </w:r>
      <w:r>
        <w:rPr>
          <w:rFonts w:eastAsia="黑体"/>
          <w:color w:val="000000" w:themeColor="text1"/>
          <w:sz w:val="32"/>
          <w:szCs w:val="32"/>
        </w:rPr>
        <w:t xml:space="preserve"> </w:t>
      </w:r>
      <w:r>
        <w:rPr>
          <w:rFonts w:hAnsi="仿宋_GB2312" w:eastAsia="仿宋_GB2312"/>
          <w:color w:val="000000" w:themeColor="text1"/>
          <w:sz w:val="32"/>
          <w:szCs w:val="32"/>
        </w:rPr>
        <w:t>本条例</w:t>
      </w:r>
      <w:r>
        <w:rPr>
          <w:rFonts w:eastAsia="仿宋_GB2312"/>
          <w:color w:val="000000" w:themeColor="text1"/>
          <w:sz w:val="32"/>
          <w:szCs w:val="32"/>
        </w:rPr>
        <w:t>下列用语的含义是</w:t>
      </w:r>
      <w:r>
        <w:rPr>
          <w:rFonts w:hAnsi="仿宋_GB2312" w:eastAsia="仿宋_GB2312"/>
          <w:color w:val="000000" w:themeColor="text1"/>
          <w:sz w:val="32"/>
          <w:szCs w:val="32"/>
        </w:rPr>
        <w:t>：</w:t>
      </w:r>
    </w:p>
    <w:p>
      <w:pPr>
        <w:spacing w:line="560"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（一）传统风貌建筑，是指历史城区、历史文化名镇、历史文化名村、</w:t>
      </w:r>
      <w:r>
        <w:rPr>
          <w:rFonts w:eastAsia="仿宋_GB2312"/>
          <w:color w:val="000000" w:themeColor="text1"/>
          <w:sz w:val="32"/>
          <w:szCs w:val="32"/>
        </w:rPr>
        <w:t>历史村镇</w:t>
      </w:r>
      <w:r>
        <w:rPr>
          <w:rFonts w:hAnsi="仿宋_GB2312" w:eastAsia="仿宋_GB2312"/>
          <w:color w:val="000000" w:themeColor="text1"/>
          <w:sz w:val="32"/>
          <w:szCs w:val="32"/>
        </w:rPr>
        <w:t>、历史文化街区、历史地段范围内除文物保护单位、历史建筑外，具有一定建成历史，对整体风貌形成具有价值和意义的建（构）筑物。</w:t>
      </w:r>
    </w:p>
    <w:p>
      <w:pPr>
        <w:spacing w:line="560" w:lineRule="exact"/>
        <w:ind w:firstLine="640" w:firstLineChars="200"/>
        <w:rPr>
          <w:rFonts w:eastAsia="仿宋_GB2312"/>
          <w:color w:val="000000" w:themeColor="text1"/>
          <w:sz w:val="32"/>
          <w:szCs w:val="32"/>
        </w:rPr>
      </w:pPr>
      <w:r>
        <w:rPr>
          <w:rFonts w:hAnsi="仿宋_GB2312" w:eastAsia="仿宋_GB2312"/>
          <w:color w:val="000000" w:themeColor="text1"/>
          <w:sz w:val="32"/>
          <w:szCs w:val="32"/>
        </w:rPr>
        <w:t>（二）</w:t>
      </w:r>
      <w:r>
        <w:rPr>
          <w:rFonts w:eastAsia="仿宋_GB2312"/>
          <w:color w:val="000000" w:themeColor="text1"/>
          <w:sz w:val="32"/>
          <w:szCs w:val="32"/>
        </w:rPr>
        <w:t>历史村镇，是指未被确定为国家、云南省的历史文化名镇、历史文化名村，经市人民政府批准公布为市级保护对象的村镇。</w:t>
      </w:r>
    </w:p>
    <w:p>
      <w:pPr>
        <w:spacing w:line="560" w:lineRule="exact"/>
        <w:ind w:firstLine="640" w:firstLineChars="200"/>
        <w:rPr>
          <w:rFonts w:eastAsia="仿宋_GB2312"/>
          <w:color w:val="000000" w:themeColor="text1"/>
          <w:sz w:val="32"/>
          <w:szCs w:val="32"/>
        </w:rPr>
      </w:pPr>
      <w:r>
        <w:rPr>
          <w:rFonts w:hAnsi="黑体" w:eastAsia="黑体"/>
          <w:color w:val="000000" w:themeColor="text1"/>
          <w:sz w:val="32"/>
          <w:szCs w:val="32"/>
        </w:rPr>
        <w:t>第四十六条</w:t>
      </w:r>
      <w:r>
        <w:rPr>
          <w:rFonts w:eastAsia="黑体"/>
          <w:color w:val="000000" w:themeColor="text1"/>
          <w:sz w:val="32"/>
          <w:szCs w:val="32"/>
        </w:rPr>
        <w:t xml:space="preserve"> </w:t>
      </w:r>
      <w:r>
        <w:rPr>
          <w:rFonts w:hAnsi="仿宋_GB2312" w:eastAsia="仿宋_GB2312"/>
          <w:color w:val="000000" w:themeColor="text1"/>
          <w:sz w:val="32"/>
          <w:szCs w:val="32"/>
        </w:rPr>
        <w:t>本条例自</w:t>
      </w:r>
      <w:r>
        <w:rPr>
          <w:rFonts w:eastAsia="仿宋_GB2312"/>
          <w:color w:val="000000" w:themeColor="text1"/>
          <w:sz w:val="32"/>
          <w:szCs w:val="32"/>
        </w:rPr>
        <w:t>20</w:t>
      </w:r>
      <w:r>
        <w:rPr>
          <w:rFonts w:hint="eastAsia" w:eastAsia="仿宋_GB2312"/>
          <w:color w:val="000000" w:themeColor="text1"/>
          <w:sz w:val="32"/>
          <w:szCs w:val="32"/>
          <w:lang w:val="en-US" w:eastAsia="zh-CN"/>
        </w:rPr>
        <w:t>20</w:t>
      </w:r>
      <w:r>
        <w:rPr>
          <w:rFonts w:hAnsi="仿宋_GB2312" w:eastAsia="仿宋_GB2312"/>
          <w:color w:val="000000" w:themeColor="text1"/>
          <w:sz w:val="32"/>
          <w:szCs w:val="32"/>
        </w:rPr>
        <w:t>年</w:t>
      </w:r>
      <w:r>
        <w:rPr>
          <w:rFonts w:hint="eastAsia" w:hAnsi="仿宋_GB2312" w:eastAsia="仿宋_GB2312"/>
          <w:color w:val="000000" w:themeColor="text1"/>
          <w:sz w:val="32"/>
          <w:szCs w:val="32"/>
          <w:lang w:val="en-US" w:eastAsia="zh-CN"/>
        </w:rPr>
        <w:t>5</w:t>
      </w:r>
      <w:r>
        <w:rPr>
          <w:rFonts w:hAnsi="仿宋_GB2312" w:eastAsia="仿宋_GB2312"/>
          <w:color w:val="000000" w:themeColor="text1"/>
          <w:sz w:val="32"/>
          <w:szCs w:val="32"/>
        </w:rPr>
        <w:t>月</w:t>
      </w:r>
      <w:r>
        <w:rPr>
          <w:rFonts w:hint="eastAsia" w:hAnsi="仿宋_GB2312" w:eastAsia="仿宋_GB2312"/>
          <w:color w:val="000000" w:themeColor="text1"/>
          <w:sz w:val="32"/>
          <w:szCs w:val="32"/>
          <w:lang w:val="en-US" w:eastAsia="zh-CN"/>
        </w:rPr>
        <w:t>1</w:t>
      </w:r>
      <w:bookmarkStart w:id="0" w:name="_GoBack"/>
      <w:bookmarkEnd w:id="0"/>
      <w:r>
        <w:rPr>
          <w:rFonts w:hAnsi="仿宋_GB2312" w:eastAsia="仿宋_GB2312"/>
          <w:color w:val="000000" w:themeColor="text1"/>
          <w:sz w:val="32"/>
          <w:szCs w:val="32"/>
        </w:rPr>
        <w:t>日起施行。</w:t>
      </w:r>
      <w:r>
        <w:rPr>
          <w:rFonts w:eastAsia="仿宋_GB2312"/>
          <w:color w:val="000000" w:themeColor="text1"/>
          <w:sz w:val="32"/>
          <w:szCs w:val="32"/>
        </w:rPr>
        <w:t>2011</w:t>
      </w:r>
      <w:r>
        <w:rPr>
          <w:rFonts w:hAnsi="仿宋_GB2312" w:eastAsia="仿宋_GB2312"/>
          <w:color w:val="000000" w:themeColor="text1"/>
          <w:sz w:val="32"/>
          <w:szCs w:val="32"/>
        </w:rPr>
        <w:t>年</w:t>
      </w:r>
      <w:r>
        <w:rPr>
          <w:rFonts w:eastAsia="仿宋_GB2312"/>
          <w:color w:val="000000" w:themeColor="text1"/>
          <w:sz w:val="32"/>
          <w:szCs w:val="32"/>
        </w:rPr>
        <w:t>10</w:t>
      </w:r>
      <w:r>
        <w:rPr>
          <w:rFonts w:hAnsi="仿宋_GB2312" w:eastAsia="仿宋_GB2312"/>
          <w:color w:val="000000" w:themeColor="text1"/>
          <w:sz w:val="32"/>
          <w:szCs w:val="32"/>
        </w:rPr>
        <w:t>月</w:t>
      </w:r>
      <w:r>
        <w:rPr>
          <w:rFonts w:eastAsia="仿宋_GB2312"/>
          <w:color w:val="000000" w:themeColor="text1"/>
          <w:sz w:val="32"/>
          <w:szCs w:val="32"/>
        </w:rPr>
        <w:t>28</w:t>
      </w:r>
      <w:r>
        <w:rPr>
          <w:rFonts w:hAnsi="仿宋_GB2312" w:eastAsia="仿宋_GB2312"/>
          <w:color w:val="000000" w:themeColor="text1"/>
          <w:sz w:val="32"/>
          <w:szCs w:val="32"/>
        </w:rPr>
        <w:t>日昆明市第十三届人民代表大会常务委员会第六次会议通过，</w:t>
      </w:r>
      <w:r>
        <w:rPr>
          <w:rFonts w:eastAsia="仿宋_GB2312"/>
          <w:color w:val="000000" w:themeColor="text1"/>
          <w:sz w:val="32"/>
          <w:szCs w:val="32"/>
        </w:rPr>
        <w:t>2011</w:t>
      </w:r>
      <w:r>
        <w:rPr>
          <w:rFonts w:hAnsi="仿宋_GB2312" w:eastAsia="仿宋_GB2312"/>
          <w:color w:val="000000" w:themeColor="text1"/>
          <w:sz w:val="32"/>
          <w:szCs w:val="32"/>
        </w:rPr>
        <w:t>年</w:t>
      </w:r>
      <w:r>
        <w:rPr>
          <w:rFonts w:eastAsia="仿宋_GB2312"/>
          <w:color w:val="000000" w:themeColor="text1"/>
          <w:sz w:val="32"/>
          <w:szCs w:val="32"/>
        </w:rPr>
        <w:t>11</w:t>
      </w:r>
      <w:r>
        <w:rPr>
          <w:rFonts w:hAnsi="仿宋_GB2312" w:eastAsia="仿宋_GB2312"/>
          <w:color w:val="000000" w:themeColor="text1"/>
          <w:sz w:val="32"/>
          <w:szCs w:val="32"/>
        </w:rPr>
        <w:t>月</w:t>
      </w:r>
      <w:r>
        <w:rPr>
          <w:rFonts w:eastAsia="仿宋_GB2312"/>
          <w:color w:val="000000" w:themeColor="text1"/>
          <w:sz w:val="32"/>
          <w:szCs w:val="32"/>
        </w:rPr>
        <w:t>22</w:t>
      </w:r>
      <w:r>
        <w:rPr>
          <w:rFonts w:hAnsi="仿宋_GB2312" w:eastAsia="仿宋_GB2312"/>
          <w:color w:val="000000" w:themeColor="text1"/>
          <w:sz w:val="32"/>
          <w:szCs w:val="32"/>
        </w:rPr>
        <w:t>日云南省第十一届人民代表大会常务委员会第二十七次会议批准的《昆明市历史文化名城保护条例》同时废止。</w:t>
      </w:r>
    </w:p>
    <w:sectPr>
      <w:footerReference r:id="rId3" w:type="default"/>
      <w:footerReference r:id="rId4" w:type="even"/>
      <w:pgSz w:w="11907" w:h="16840"/>
      <w:pgMar w:top="1928" w:right="1531" w:bottom="1871" w:left="1531" w:header="1418"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BSJW--GB1-0">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rPr>
      <w:id w:val="4956531"/>
      <w:docPartObj>
        <w:docPartGallery w:val="AutoText"/>
      </w:docPartObj>
    </w:sdtPr>
    <w:sdtEndPr>
      <w:rPr>
        <w:sz w:val="28"/>
      </w:rPr>
    </w:sdtEndPr>
    <w:sdtContent>
      <w:p>
        <w:pPr>
          <w:pStyle w:val="4"/>
          <w:jc w:val="right"/>
          <w:rPr>
            <w:sz w:val="28"/>
          </w:rPr>
        </w:pPr>
        <w:r>
          <w:rPr>
            <w:sz w:val="28"/>
          </w:rPr>
          <w:fldChar w:fldCharType="begin"/>
        </w:r>
        <w:r>
          <w:rPr>
            <w:sz w:val="28"/>
          </w:rPr>
          <w:instrText xml:space="preserve"> PAGE   \* MERGEFORMAT </w:instrText>
        </w:r>
        <w:r>
          <w:rPr>
            <w:sz w:val="28"/>
          </w:rPr>
          <w:fldChar w:fldCharType="separate"/>
        </w:r>
        <w:r>
          <w:rPr>
            <w:sz w:val="28"/>
            <w:lang w:val="zh-CN"/>
          </w:rPr>
          <w:t>-</w:t>
        </w:r>
        <w:r>
          <w:rPr>
            <w:sz w:val="28"/>
          </w:rPr>
          <w:t xml:space="preserve"> 14 -</w:t>
        </w:r>
        <w:r>
          <w:rPr>
            <w:sz w:val="28"/>
          </w:rPr>
          <w:fldChar w:fldCharType="end"/>
        </w:r>
      </w:p>
    </w:sdtContent>
  </w:sdt>
  <w:p>
    <w:pPr>
      <w:pStyle w:val="4"/>
      <w:ind w:right="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1401"/>
    <w:rsid w:val="00005393"/>
    <w:rsid w:val="000078A1"/>
    <w:rsid w:val="0002047C"/>
    <w:rsid w:val="00026B4C"/>
    <w:rsid w:val="0002747F"/>
    <w:rsid w:val="00043608"/>
    <w:rsid w:val="000458AD"/>
    <w:rsid w:val="00050F07"/>
    <w:rsid w:val="00050FE5"/>
    <w:rsid w:val="00053B9B"/>
    <w:rsid w:val="00053E5F"/>
    <w:rsid w:val="00064C21"/>
    <w:rsid w:val="0007170E"/>
    <w:rsid w:val="0007258F"/>
    <w:rsid w:val="00073202"/>
    <w:rsid w:val="00091BD9"/>
    <w:rsid w:val="000A0760"/>
    <w:rsid w:val="000B11D3"/>
    <w:rsid w:val="000C2F3F"/>
    <w:rsid w:val="000C2F7C"/>
    <w:rsid w:val="000C712F"/>
    <w:rsid w:val="000C7741"/>
    <w:rsid w:val="000D362A"/>
    <w:rsid w:val="000E0293"/>
    <w:rsid w:val="000E2CCE"/>
    <w:rsid w:val="000E5699"/>
    <w:rsid w:val="0010147F"/>
    <w:rsid w:val="0010372F"/>
    <w:rsid w:val="0010752A"/>
    <w:rsid w:val="0010786F"/>
    <w:rsid w:val="001148E6"/>
    <w:rsid w:val="00114E7F"/>
    <w:rsid w:val="00123850"/>
    <w:rsid w:val="00131211"/>
    <w:rsid w:val="0014177C"/>
    <w:rsid w:val="001417F5"/>
    <w:rsid w:val="00143D53"/>
    <w:rsid w:val="0016237B"/>
    <w:rsid w:val="0016646A"/>
    <w:rsid w:val="00172D5B"/>
    <w:rsid w:val="00173D5F"/>
    <w:rsid w:val="001838C3"/>
    <w:rsid w:val="001841D8"/>
    <w:rsid w:val="00187910"/>
    <w:rsid w:val="00191EEA"/>
    <w:rsid w:val="001A213A"/>
    <w:rsid w:val="001B17D1"/>
    <w:rsid w:val="001B244B"/>
    <w:rsid w:val="001B4947"/>
    <w:rsid w:val="001C0831"/>
    <w:rsid w:val="001C2363"/>
    <w:rsid w:val="001C560B"/>
    <w:rsid w:val="001D7E02"/>
    <w:rsid w:val="001E3ED6"/>
    <w:rsid w:val="00205047"/>
    <w:rsid w:val="00207971"/>
    <w:rsid w:val="00220840"/>
    <w:rsid w:val="00224B67"/>
    <w:rsid w:val="002307F6"/>
    <w:rsid w:val="002376B8"/>
    <w:rsid w:val="0024070D"/>
    <w:rsid w:val="00252674"/>
    <w:rsid w:val="00266A36"/>
    <w:rsid w:val="002701E4"/>
    <w:rsid w:val="002A2454"/>
    <w:rsid w:val="002B5B70"/>
    <w:rsid w:val="002B63B8"/>
    <w:rsid w:val="002C3D46"/>
    <w:rsid w:val="002C49C3"/>
    <w:rsid w:val="002C5C65"/>
    <w:rsid w:val="002E0771"/>
    <w:rsid w:val="002E4725"/>
    <w:rsid w:val="002E7B07"/>
    <w:rsid w:val="002F25A5"/>
    <w:rsid w:val="002F750C"/>
    <w:rsid w:val="0030213E"/>
    <w:rsid w:val="00316921"/>
    <w:rsid w:val="00317B4F"/>
    <w:rsid w:val="00327574"/>
    <w:rsid w:val="00350BBC"/>
    <w:rsid w:val="0035574C"/>
    <w:rsid w:val="003674EB"/>
    <w:rsid w:val="00372A66"/>
    <w:rsid w:val="00382409"/>
    <w:rsid w:val="0039595B"/>
    <w:rsid w:val="0039701D"/>
    <w:rsid w:val="003A05E9"/>
    <w:rsid w:val="003A15A1"/>
    <w:rsid w:val="003A2DE0"/>
    <w:rsid w:val="003B0396"/>
    <w:rsid w:val="003C2E6C"/>
    <w:rsid w:val="003C7317"/>
    <w:rsid w:val="003D734E"/>
    <w:rsid w:val="003D79B7"/>
    <w:rsid w:val="003E2D1B"/>
    <w:rsid w:val="003E651D"/>
    <w:rsid w:val="003F61BA"/>
    <w:rsid w:val="00413C09"/>
    <w:rsid w:val="004170C1"/>
    <w:rsid w:val="004239B8"/>
    <w:rsid w:val="0042461E"/>
    <w:rsid w:val="0042496A"/>
    <w:rsid w:val="00431550"/>
    <w:rsid w:val="00437545"/>
    <w:rsid w:val="00477264"/>
    <w:rsid w:val="00480C29"/>
    <w:rsid w:val="00482A73"/>
    <w:rsid w:val="00482D7B"/>
    <w:rsid w:val="004905DC"/>
    <w:rsid w:val="00490944"/>
    <w:rsid w:val="00495C05"/>
    <w:rsid w:val="00496F9B"/>
    <w:rsid w:val="004A22B4"/>
    <w:rsid w:val="004A4E2A"/>
    <w:rsid w:val="004B5097"/>
    <w:rsid w:val="004B6C00"/>
    <w:rsid w:val="004D347C"/>
    <w:rsid w:val="004E05F6"/>
    <w:rsid w:val="004E25FA"/>
    <w:rsid w:val="004E74A7"/>
    <w:rsid w:val="004F5654"/>
    <w:rsid w:val="004F5F34"/>
    <w:rsid w:val="0050329D"/>
    <w:rsid w:val="00503AB5"/>
    <w:rsid w:val="00517C9D"/>
    <w:rsid w:val="00524F6F"/>
    <w:rsid w:val="005314B1"/>
    <w:rsid w:val="00536E77"/>
    <w:rsid w:val="00547B3D"/>
    <w:rsid w:val="00550875"/>
    <w:rsid w:val="00561972"/>
    <w:rsid w:val="005621D6"/>
    <w:rsid w:val="00563F1A"/>
    <w:rsid w:val="00570BB9"/>
    <w:rsid w:val="00585A78"/>
    <w:rsid w:val="00591F1D"/>
    <w:rsid w:val="005939F7"/>
    <w:rsid w:val="005A13F6"/>
    <w:rsid w:val="005A269E"/>
    <w:rsid w:val="005A58B9"/>
    <w:rsid w:val="005A7255"/>
    <w:rsid w:val="005B46B1"/>
    <w:rsid w:val="005C292F"/>
    <w:rsid w:val="005C46FE"/>
    <w:rsid w:val="005C6788"/>
    <w:rsid w:val="005D29C1"/>
    <w:rsid w:val="005E1987"/>
    <w:rsid w:val="005E7AE0"/>
    <w:rsid w:val="005F0295"/>
    <w:rsid w:val="005F08D0"/>
    <w:rsid w:val="005F2652"/>
    <w:rsid w:val="005F3B4A"/>
    <w:rsid w:val="0061720B"/>
    <w:rsid w:val="00621A1F"/>
    <w:rsid w:val="00642370"/>
    <w:rsid w:val="006447A2"/>
    <w:rsid w:val="00661908"/>
    <w:rsid w:val="006732F4"/>
    <w:rsid w:val="00675499"/>
    <w:rsid w:val="006754BC"/>
    <w:rsid w:val="00680C6E"/>
    <w:rsid w:val="00681978"/>
    <w:rsid w:val="00684A83"/>
    <w:rsid w:val="006901EA"/>
    <w:rsid w:val="00693DBC"/>
    <w:rsid w:val="006A495B"/>
    <w:rsid w:val="006B55B4"/>
    <w:rsid w:val="006C1819"/>
    <w:rsid w:val="006C505D"/>
    <w:rsid w:val="006D22F3"/>
    <w:rsid w:val="006E5F0E"/>
    <w:rsid w:val="006F5002"/>
    <w:rsid w:val="006F5537"/>
    <w:rsid w:val="00702127"/>
    <w:rsid w:val="0070418B"/>
    <w:rsid w:val="007240A6"/>
    <w:rsid w:val="007304CB"/>
    <w:rsid w:val="00731599"/>
    <w:rsid w:val="00735845"/>
    <w:rsid w:val="00740C34"/>
    <w:rsid w:val="00741AAA"/>
    <w:rsid w:val="00741F46"/>
    <w:rsid w:val="007451BD"/>
    <w:rsid w:val="00754653"/>
    <w:rsid w:val="00754830"/>
    <w:rsid w:val="007564ED"/>
    <w:rsid w:val="00756D11"/>
    <w:rsid w:val="0076203C"/>
    <w:rsid w:val="00770949"/>
    <w:rsid w:val="00777076"/>
    <w:rsid w:val="00780880"/>
    <w:rsid w:val="0078711D"/>
    <w:rsid w:val="0079237C"/>
    <w:rsid w:val="00796AF6"/>
    <w:rsid w:val="007A47C6"/>
    <w:rsid w:val="007B1448"/>
    <w:rsid w:val="007B298A"/>
    <w:rsid w:val="007B51E2"/>
    <w:rsid w:val="007C14F4"/>
    <w:rsid w:val="007C2A76"/>
    <w:rsid w:val="007D26E1"/>
    <w:rsid w:val="007D55D4"/>
    <w:rsid w:val="007D781B"/>
    <w:rsid w:val="007D7955"/>
    <w:rsid w:val="007E2764"/>
    <w:rsid w:val="007E2DE0"/>
    <w:rsid w:val="007F4318"/>
    <w:rsid w:val="007F494D"/>
    <w:rsid w:val="008066B2"/>
    <w:rsid w:val="0081029C"/>
    <w:rsid w:val="00812100"/>
    <w:rsid w:val="00816A81"/>
    <w:rsid w:val="008331C3"/>
    <w:rsid w:val="00833708"/>
    <w:rsid w:val="0083461A"/>
    <w:rsid w:val="0084126D"/>
    <w:rsid w:val="00843AA3"/>
    <w:rsid w:val="008527D6"/>
    <w:rsid w:val="00854DF0"/>
    <w:rsid w:val="0086681E"/>
    <w:rsid w:val="0088025D"/>
    <w:rsid w:val="008960E5"/>
    <w:rsid w:val="0089642C"/>
    <w:rsid w:val="008A0E0C"/>
    <w:rsid w:val="008B2220"/>
    <w:rsid w:val="008B5F3B"/>
    <w:rsid w:val="008C4ACD"/>
    <w:rsid w:val="008E3642"/>
    <w:rsid w:val="008E5F80"/>
    <w:rsid w:val="008F2CCE"/>
    <w:rsid w:val="008F3ACD"/>
    <w:rsid w:val="00914C9B"/>
    <w:rsid w:val="00922E41"/>
    <w:rsid w:val="00923425"/>
    <w:rsid w:val="00942BF6"/>
    <w:rsid w:val="00943ACD"/>
    <w:rsid w:val="00946EC9"/>
    <w:rsid w:val="00960404"/>
    <w:rsid w:val="0096301D"/>
    <w:rsid w:val="00964323"/>
    <w:rsid w:val="00985E9D"/>
    <w:rsid w:val="00987129"/>
    <w:rsid w:val="00990B19"/>
    <w:rsid w:val="00993BEE"/>
    <w:rsid w:val="009A1773"/>
    <w:rsid w:val="009A3650"/>
    <w:rsid w:val="009A4330"/>
    <w:rsid w:val="009C1F42"/>
    <w:rsid w:val="009C5F69"/>
    <w:rsid w:val="009C7382"/>
    <w:rsid w:val="009C7479"/>
    <w:rsid w:val="009D3FA8"/>
    <w:rsid w:val="009D5833"/>
    <w:rsid w:val="009D7707"/>
    <w:rsid w:val="009E1CE4"/>
    <w:rsid w:val="009E6143"/>
    <w:rsid w:val="00A03286"/>
    <w:rsid w:val="00A1197E"/>
    <w:rsid w:val="00A249A5"/>
    <w:rsid w:val="00A329BB"/>
    <w:rsid w:val="00A3392C"/>
    <w:rsid w:val="00A451D5"/>
    <w:rsid w:val="00A4776F"/>
    <w:rsid w:val="00A51401"/>
    <w:rsid w:val="00A57F03"/>
    <w:rsid w:val="00A60F8A"/>
    <w:rsid w:val="00A61127"/>
    <w:rsid w:val="00A61817"/>
    <w:rsid w:val="00A727F4"/>
    <w:rsid w:val="00A765D6"/>
    <w:rsid w:val="00A81BC9"/>
    <w:rsid w:val="00A843E0"/>
    <w:rsid w:val="00A871D5"/>
    <w:rsid w:val="00AA0241"/>
    <w:rsid w:val="00AA5CA9"/>
    <w:rsid w:val="00AA7F0C"/>
    <w:rsid w:val="00AB4257"/>
    <w:rsid w:val="00AB6F46"/>
    <w:rsid w:val="00AC3BA8"/>
    <w:rsid w:val="00AD328B"/>
    <w:rsid w:val="00AD52AA"/>
    <w:rsid w:val="00AE349A"/>
    <w:rsid w:val="00AE3F77"/>
    <w:rsid w:val="00AE5BA8"/>
    <w:rsid w:val="00AE5CC3"/>
    <w:rsid w:val="00AF19FE"/>
    <w:rsid w:val="00AF2174"/>
    <w:rsid w:val="00AF3B06"/>
    <w:rsid w:val="00AF44CF"/>
    <w:rsid w:val="00AF451F"/>
    <w:rsid w:val="00AF5CBD"/>
    <w:rsid w:val="00B0241F"/>
    <w:rsid w:val="00B02DBC"/>
    <w:rsid w:val="00B04FCE"/>
    <w:rsid w:val="00B05E09"/>
    <w:rsid w:val="00B146E5"/>
    <w:rsid w:val="00B208A2"/>
    <w:rsid w:val="00B427CE"/>
    <w:rsid w:val="00B42971"/>
    <w:rsid w:val="00B43ADE"/>
    <w:rsid w:val="00B51CF4"/>
    <w:rsid w:val="00B54B8D"/>
    <w:rsid w:val="00B561A0"/>
    <w:rsid w:val="00B60BD3"/>
    <w:rsid w:val="00B63836"/>
    <w:rsid w:val="00B6715F"/>
    <w:rsid w:val="00B70736"/>
    <w:rsid w:val="00B70C1E"/>
    <w:rsid w:val="00B8126F"/>
    <w:rsid w:val="00B97EAE"/>
    <w:rsid w:val="00BA0653"/>
    <w:rsid w:val="00BA19AF"/>
    <w:rsid w:val="00BA3BB6"/>
    <w:rsid w:val="00BB1A4B"/>
    <w:rsid w:val="00BB1C74"/>
    <w:rsid w:val="00BB58BF"/>
    <w:rsid w:val="00BB7BC4"/>
    <w:rsid w:val="00BC3B0A"/>
    <w:rsid w:val="00BD0423"/>
    <w:rsid w:val="00BF6EFA"/>
    <w:rsid w:val="00C06F50"/>
    <w:rsid w:val="00C22D32"/>
    <w:rsid w:val="00C26F94"/>
    <w:rsid w:val="00C35756"/>
    <w:rsid w:val="00C40669"/>
    <w:rsid w:val="00C47878"/>
    <w:rsid w:val="00C621D5"/>
    <w:rsid w:val="00C6375E"/>
    <w:rsid w:val="00C816BF"/>
    <w:rsid w:val="00C81C86"/>
    <w:rsid w:val="00C81CB0"/>
    <w:rsid w:val="00C947E2"/>
    <w:rsid w:val="00C96B4B"/>
    <w:rsid w:val="00CA0628"/>
    <w:rsid w:val="00CC0CD5"/>
    <w:rsid w:val="00CC160D"/>
    <w:rsid w:val="00CC1C76"/>
    <w:rsid w:val="00CE5475"/>
    <w:rsid w:val="00CF25A7"/>
    <w:rsid w:val="00D12005"/>
    <w:rsid w:val="00D2601B"/>
    <w:rsid w:val="00D31A03"/>
    <w:rsid w:val="00D46178"/>
    <w:rsid w:val="00D4771F"/>
    <w:rsid w:val="00D550CD"/>
    <w:rsid w:val="00D57BCF"/>
    <w:rsid w:val="00D62998"/>
    <w:rsid w:val="00D72A18"/>
    <w:rsid w:val="00D737AD"/>
    <w:rsid w:val="00D84201"/>
    <w:rsid w:val="00D8671F"/>
    <w:rsid w:val="00D9261B"/>
    <w:rsid w:val="00D9585A"/>
    <w:rsid w:val="00DA06C9"/>
    <w:rsid w:val="00DA0BEB"/>
    <w:rsid w:val="00DB5470"/>
    <w:rsid w:val="00DC054A"/>
    <w:rsid w:val="00DC3BCE"/>
    <w:rsid w:val="00DE3FAF"/>
    <w:rsid w:val="00DF0A63"/>
    <w:rsid w:val="00E10A2A"/>
    <w:rsid w:val="00E171B0"/>
    <w:rsid w:val="00E17FC9"/>
    <w:rsid w:val="00E24519"/>
    <w:rsid w:val="00E47863"/>
    <w:rsid w:val="00E523E1"/>
    <w:rsid w:val="00E531B8"/>
    <w:rsid w:val="00E65500"/>
    <w:rsid w:val="00E6593B"/>
    <w:rsid w:val="00E67BDF"/>
    <w:rsid w:val="00E73BCF"/>
    <w:rsid w:val="00E7660E"/>
    <w:rsid w:val="00E8002A"/>
    <w:rsid w:val="00E81412"/>
    <w:rsid w:val="00E92145"/>
    <w:rsid w:val="00E95D1A"/>
    <w:rsid w:val="00EA1C7D"/>
    <w:rsid w:val="00EB44ED"/>
    <w:rsid w:val="00EC2761"/>
    <w:rsid w:val="00EC34AD"/>
    <w:rsid w:val="00EC605C"/>
    <w:rsid w:val="00ED4EB1"/>
    <w:rsid w:val="00EE57C8"/>
    <w:rsid w:val="00F14A55"/>
    <w:rsid w:val="00F156A8"/>
    <w:rsid w:val="00F171FB"/>
    <w:rsid w:val="00F3005E"/>
    <w:rsid w:val="00F34975"/>
    <w:rsid w:val="00F35664"/>
    <w:rsid w:val="00F36FFC"/>
    <w:rsid w:val="00F401F3"/>
    <w:rsid w:val="00F44D99"/>
    <w:rsid w:val="00F60F53"/>
    <w:rsid w:val="00F632D6"/>
    <w:rsid w:val="00F676B7"/>
    <w:rsid w:val="00F7221A"/>
    <w:rsid w:val="00F86FDB"/>
    <w:rsid w:val="00F87624"/>
    <w:rsid w:val="00F905F0"/>
    <w:rsid w:val="00F92328"/>
    <w:rsid w:val="00FA20E1"/>
    <w:rsid w:val="00FA314D"/>
    <w:rsid w:val="00FA7882"/>
    <w:rsid w:val="00FB2CDE"/>
    <w:rsid w:val="00FB6059"/>
    <w:rsid w:val="00FB7ED1"/>
    <w:rsid w:val="00FC2121"/>
    <w:rsid w:val="00FD370A"/>
    <w:rsid w:val="00FD3908"/>
    <w:rsid w:val="00FE7622"/>
    <w:rsid w:val="00FF408A"/>
    <w:rsid w:val="00FF636B"/>
    <w:rsid w:val="079453CB"/>
    <w:rsid w:val="0EBE3223"/>
    <w:rsid w:val="0F922266"/>
    <w:rsid w:val="17C40A1C"/>
    <w:rsid w:val="1A2157B3"/>
    <w:rsid w:val="1F5F3F09"/>
    <w:rsid w:val="2C98002A"/>
    <w:rsid w:val="37DF188B"/>
    <w:rsid w:val="3FB85947"/>
    <w:rsid w:val="502D573B"/>
    <w:rsid w:val="569C7ED2"/>
    <w:rsid w:val="58D65D1D"/>
    <w:rsid w:val="653A1300"/>
    <w:rsid w:val="67C61F53"/>
    <w:rsid w:val="6A554BA3"/>
    <w:rsid w:val="6C9918E4"/>
    <w:rsid w:val="6D595AA5"/>
    <w:rsid w:val="71A91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8"/>
    <w:semiHidden/>
    <w:unhideWhenUsed/>
    <w:uiPriority w:val="99"/>
    <w:rPr>
      <w:b/>
      <w:bCs/>
    </w:rPr>
  </w:style>
  <w:style w:type="character" w:styleId="10">
    <w:name w:val="page number"/>
    <w:basedOn w:val="9"/>
    <w:qFormat/>
    <w:uiPriority w:val="0"/>
  </w:style>
  <w:style w:type="character" w:styleId="11">
    <w:name w:val="annotation reference"/>
    <w:basedOn w:val="9"/>
    <w:semiHidden/>
    <w:unhideWhenUsed/>
    <w:uiPriority w:val="99"/>
    <w:rPr>
      <w:sz w:val="21"/>
      <w:szCs w:val="21"/>
    </w:rPr>
  </w:style>
  <w:style w:type="character" w:customStyle="1" w:styleId="12">
    <w:name w:val="页眉 Char"/>
    <w:basedOn w:val="9"/>
    <w:link w:val="5"/>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3"/>
    <w:semiHidden/>
    <w:uiPriority w:val="99"/>
    <w:rPr>
      <w:rFonts w:ascii="Times New Roman" w:hAnsi="Times New Roman" w:eastAsia="宋体" w:cs="Times New Roman"/>
      <w:sz w:val="18"/>
      <w:szCs w:val="18"/>
    </w:rPr>
  </w:style>
  <w:style w:type="character" w:customStyle="1" w:styleId="16">
    <w:name w:val="fontstyle01"/>
    <w:basedOn w:val="9"/>
    <w:uiPriority w:val="0"/>
    <w:rPr>
      <w:rFonts w:hint="default" w:ascii="FZXBSJW--GB1-0" w:hAnsi="FZXBSJW--GB1-0"/>
      <w:color w:val="231F20"/>
      <w:sz w:val="44"/>
      <w:szCs w:val="44"/>
    </w:rPr>
  </w:style>
  <w:style w:type="character" w:customStyle="1" w:styleId="17">
    <w:name w:val="批注文字 Char"/>
    <w:basedOn w:val="9"/>
    <w:link w:val="2"/>
    <w:semiHidden/>
    <w:qFormat/>
    <w:uiPriority w:val="99"/>
    <w:rPr>
      <w:rFonts w:ascii="Times New Roman" w:hAnsi="Times New Roman" w:eastAsia="宋体" w:cs="Times New Roman"/>
      <w:szCs w:val="20"/>
    </w:rPr>
  </w:style>
  <w:style w:type="character" w:customStyle="1" w:styleId="18">
    <w:name w:val="批注主题 Char"/>
    <w:basedOn w:val="17"/>
    <w:link w:val="7"/>
    <w:semiHidden/>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87803-3CB0-4A8B-ADBD-2DECD269EF5F}">
  <ds:schemaRefs/>
</ds:datastoreItem>
</file>

<file path=docProps/app.xml><?xml version="1.0" encoding="utf-8"?>
<Properties xmlns="http://schemas.openxmlformats.org/officeDocument/2006/extended-properties" xmlns:vt="http://schemas.openxmlformats.org/officeDocument/2006/docPropsVTypes">
  <Template>Normal</Template>
  <Company>kmzbo</Company>
  <Pages>14</Pages>
  <Words>926</Words>
  <Characters>5281</Characters>
  <Lines>44</Lines>
  <Paragraphs>12</Paragraphs>
  <TotalTime>2</TotalTime>
  <ScaleCrop>false</ScaleCrop>
  <LinksUpToDate>false</LinksUpToDate>
  <CharactersWithSpaces>6195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2019-12-17T09:49:00Z</dcterms:created>
  <dc:creator>ppuser</dc:creator>
  <cp:lastModifiedBy>hp</cp:lastModifiedBy>
  <cp:lastPrinted>2020-02-18T04:46:00Z</cp:lastPrinted>
  <dcterms:modified xsi:type="dcterms:W3CDTF">2020-04-01T02:28:25Z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